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rFonts w:hint="eastAsia"/>
          <w:b/>
          <w:sz w:val="32"/>
          <w:lang w:val="en-US" w:eastAsia="zh-CN"/>
        </w:rPr>
      </w:pPr>
      <w:bookmarkStart w:id="2" w:name="_GoBack"/>
      <w:bookmarkEnd w:id="2"/>
      <w:r>
        <w:rPr>
          <w:rFonts w:hint="eastAsia"/>
          <w:b/>
          <w:sz w:val="32"/>
          <w:lang w:eastAsia="zh-CN"/>
        </w:rPr>
        <w:t>附件</w:t>
      </w:r>
      <w:r>
        <w:rPr>
          <w:rFonts w:hint="eastAsia"/>
          <w:b/>
          <w:sz w:val="32"/>
          <w:lang w:val="en-US" w:eastAsia="zh-CN"/>
        </w:rPr>
        <w:t>1</w:t>
      </w:r>
    </w:p>
    <w:p>
      <w:pPr>
        <w:pStyle w:val="4"/>
        <w:jc w:val="center"/>
        <w:rPr>
          <w:rFonts w:hint="eastAsia" w:eastAsiaTheme="minorEastAsia"/>
          <w:b/>
          <w:sz w:val="32"/>
          <w:lang w:eastAsia="zh-CN"/>
        </w:rPr>
      </w:pPr>
      <w:r>
        <w:rPr>
          <w:rFonts w:hint="eastAsia"/>
          <w:b/>
          <w:sz w:val="32"/>
          <w:lang w:eastAsia="zh-CN"/>
        </w:rPr>
        <w:t>服务需求一览表</w:t>
      </w:r>
    </w:p>
    <w:p>
      <w:pPr>
        <w:pStyle w:val="4"/>
        <w:ind w:firstLine="210" w:firstLineChars="1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w:t>
      </w:r>
    </w:p>
    <w:tbl>
      <w:tblPr>
        <w:tblStyle w:val="7"/>
        <w:tblW w:w="1077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993"/>
        <w:gridCol w:w="849"/>
        <w:gridCol w:w="836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lang w:eastAsia="zh-CN"/>
              </w:rPr>
              <w:t>服务</w:t>
            </w:r>
            <w:r>
              <w:rPr>
                <w:rFonts w:hint="eastAsia" w:ascii="宋体" w:hAnsi="宋体"/>
                <w:b/>
                <w:szCs w:val="21"/>
              </w:rPr>
              <w:t>名称</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836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服务项目的具体内容和要求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ascii="宋体" w:hAnsi="宋体"/>
                <w:szCs w:val="21"/>
              </w:rPr>
              <w:t>1</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南宁中心血站血液智慧科普馆运营外包服务</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eastAsia="zh-CN"/>
              </w:rPr>
              <w:t>项</w:t>
            </w:r>
          </w:p>
        </w:tc>
        <w:tc>
          <w:tcPr>
            <w:tcW w:w="8368" w:type="dxa"/>
            <w:tcBorders>
              <w:top w:val="single" w:color="auto" w:sz="4" w:space="0"/>
              <w:left w:val="single" w:color="auto" w:sz="4" w:space="0"/>
              <w:bottom w:val="single" w:color="auto" w:sz="4" w:space="0"/>
              <w:right w:val="single" w:color="auto" w:sz="4" w:space="0"/>
            </w:tcBorders>
            <w:vAlign w:val="center"/>
          </w:tcPr>
          <w:p>
            <w:pPr>
              <w:numPr>
                <w:ilvl w:val="0"/>
                <w:numId w:val="0"/>
              </w:numPr>
              <w:spacing w:line="276" w:lineRule="auto"/>
              <w:rPr>
                <w:rFonts w:hint="eastAsia"/>
                <w:b w:val="0"/>
                <w:bCs w:val="0"/>
                <w:lang w:val="en-US" w:eastAsia="zh-CN"/>
              </w:rPr>
            </w:pPr>
            <w:r>
              <w:rPr>
                <w:rFonts w:hint="eastAsia"/>
                <w:b w:val="0"/>
                <w:bCs w:val="0"/>
                <w:lang w:val="en-US" w:eastAsia="zh-CN"/>
              </w:rPr>
              <w:t>一、项目概况：</w:t>
            </w:r>
          </w:p>
          <w:p>
            <w:pPr>
              <w:numPr>
                <w:ilvl w:val="0"/>
                <w:numId w:val="0"/>
              </w:numPr>
              <w:spacing w:line="276" w:lineRule="auto"/>
              <w:rPr>
                <w:rFonts w:hint="eastAsia"/>
                <w:b w:val="0"/>
                <w:bCs w:val="0"/>
                <w:lang w:val="en-US" w:eastAsia="zh-CN"/>
              </w:rPr>
            </w:pPr>
            <w:r>
              <w:rPr>
                <w:rFonts w:hint="eastAsia"/>
                <w:b w:val="0"/>
                <w:bCs w:val="0"/>
                <w:lang w:val="en-US" w:eastAsia="zh-CN"/>
              </w:rPr>
              <w:t>为扩大无偿献血的宣传效果，提高公众对无偿献血的认识，树立无偿献血公益形象，拟通过对血站血液智慧科普馆进行运营，开展一系列的参展活动，增加智慧科普馆知名度，让更多市民了解更多血液知识，大力弘扬无偿献血公益正能量，从而实现献血人数的持续增长。</w:t>
            </w:r>
          </w:p>
          <w:p>
            <w:pPr>
              <w:numPr>
                <w:ilvl w:val="0"/>
                <w:numId w:val="0"/>
              </w:numPr>
              <w:spacing w:line="276" w:lineRule="auto"/>
              <w:rPr>
                <w:rFonts w:hint="eastAsia"/>
                <w:b w:val="0"/>
                <w:bCs w:val="0"/>
                <w:lang w:val="en-US" w:eastAsia="zh-CN"/>
              </w:rPr>
            </w:pPr>
            <w:r>
              <w:rPr>
                <w:rFonts w:hint="eastAsia"/>
                <w:b w:val="0"/>
                <w:bCs w:val="0"/>
                <w:lang w:val="en-US" w:eastAsia="zh-CN"/>
              </w:rPr>
              <w:t>二、服务要求：</w:t>
            </w:r>
          </w:p>
          <w:p>
            <w:pPr>
              <w:numPr>
                <w:ilvl w:val="0"/>
                <w:numId w:val="0"/>
              </w:numPr>
              <w:spacing w:line="276" w:lineRule="auto"/>
              <w:rPr>
                <w:rFonts w:hint="eastAsia"/>
                <w:b w:val="0"/>
                <w:bCs w:val="0"/>
                <w:lang w:val="en-US" w:eastAsia="zh-CN"/>
              </w:rPr>
            </w:pPr>
            <w:r>
              <w:rPr>
                <w:rFonts w:hint="eastAsia"/>
                <w:b w:val="0"/>
                <w:bCs w:val="0"/>
                <w:lang w:val="en-US" w:eastAsia="zh-CN"/>
              </w:rPr>
              <w:t>1、中标人须委派有丰富的单位活动组织、策划、执行经验、的执行团队开展服务，活动结束后应向采购人提供现场活动图片。</w:t>
            </w:r>
          </w:p>
          <w:p>
            <w:pPr>
              <w:numPr>
                <w:ilvl w:val="0"/>
                <w:numId w:val="0"/>
              </w:numPr>
              <w:spacing w:line="276" w:lineRule="auto"/>
              <w:rPr>
                <w:rFonts w:hint="eastAsia"/>
                <w:b w:val="0"/>
                <w:bCs w:val="0"/>
                <w:lang w:val="en-US" w:eastAsia="zh-CN"/>
              </w:rPr>
            </w:pPr>
            <w:r>
              <w:rPr>
                <w:rFonts w:hint="eastAsia"/>
                <w:b w:val="0"/>
                <w:bCs w:val="0"/>
                <w:lang w:val="en-US" w:eastAsia="zh-CN"/>
              </w:rPr>
              <w:t>2、全年总人流量达不少于1.5万人次，其中乙方策划招募活动成果要求中小学生不少于5000人次，企事业及社会人士等不少于2000人次 。如因不可抗拒因素，科普馆未能正常开馆，全年总人流量评定标准的调整以双方协商一致为准。</w:t>
            </w:r>
          </w:p>
          <w:p>
            <w:pPr>
              <w:numPr>
                <w:ilvl w:val="0"/>
                <w:numId w:val="0"/>
              </w:numPr>
              <w:spacing w:line="276" w:lineRule="auto"/>
              <w:rPr>
                <w:rFonts w:hint="eastAsia"/>
                <w:b w:val="0"/>
                <w:bCs w:val="0"/>
                <w:color w:val="auto"/>
                <w:lang w:val="en-US" w:eastAsia="zh-CN"/>
              </w:rPr>
            </w:pPr>
            <w:r>
              <w:rPr>
                <w:rFonts w:hint="eastAsia"/>
                <w:b w:val="0"/>
                <w:bCs w:val="0"/>
                <w:lang w:val="en-US" w:eastAsia="zh-CN"/>
              </w:rPr>
              <w:t>3、外包服务内容：讲解员1名长期在南宁中心血站驻点，文职人员1名，2人原则上下班时间为周二至周日，国家法定节假日双方可协商开馆时间，如有特殊接待任务甲方提前告知乙方，乙方第一时间做好接待准备</w:t>
            </w:r>
            <w:r>
              <w:rPr>
                <w:rFonts w:hint="eastAsia"/>
                <w:b w:val="0"/>
                <w:bCs w:val="0"/>
                <w:color w:val="auto"/>
                <w:lang w:val="en-US" w:eastAsia="zh-CN"/>
              </w:rPr>
              <w:t>。派驻血站的讲解员及文职人员相对固定，但两个岗位之间在掌握讲解内容及技巧的情况下可以适当轮转。</w:t>
            </w:r>
          </w:p>
          <w:p>
            <w:pPr>
              <w:numPr>
                <w:ilvl w:val="0"/>
                <w:numId w:val="0"/>
              </w:numPr>
              <w:spacing w:line="276" w:lineRule="auto"/>
              <w:rPr>
                <w:rFonts w:hint="eastAsia"/>
                <w:b w:val="0"/>
                <w:bCs w:val="0"/>
                <w:color w:val="auto"/>
                <w:lang w:val="en-US" w:eastAsia="zh-CN"/>
              </w:rPr>
            </w:pPr>
            <w:r>
              <w:rPr>
                <w:rFonts w:hint="eastAsia"/>
                <w:b w:val="0"/>
                <w:bCs w:val="0"/>
                <w:color w:val="auto"/>
                <w:lang w:val="en-US" w:eastAsia="zh-CN"/>
              </w:rPr>
              <w:t>4、每年提供讲解员培训不小于3次。</w:t>
            </w:r>
          </w:p>
          <w:p>
            <w:pPr>
              <w:numPr>
                <w:ilvl w:val="0"/>
                <w:numId w:val="0"/>
              </w:numPr>
              <w:spacing w:line="276" w:lineRule="auto"/>
              <w:rPr>
                <w:rFonts w:hint="eastAsia"/>
                <w:b w:val="0"/>
                <w:bCs w:val="0"/>
                <w:color w:val="auto"/>
                <w:lang w:val="en-US" w:eastAsia="zh-CN"/>
              </w:rPr>
            </w:pPr>
            <w:r>
              <w:rPr>
                <w:rFonts w:hint="eastAsia"/>
                <w:b w:val="0"/>
                <w:bCs w:val="0"/>
                <w:color w:val="auto"/>
                <w:lang w:val="en-US" w:eastAsia="zh-CN"/>
              </w:rPr>
              <w:t>5、每次活动结束后提供1份参加人数和名单给予备案；</w:t>
            </w:r>
          </w:p>
          <w:p>
            <w:pPr>
              <w:pStyle w:val="2"/>
              <w:rPr>
                <w:rFonts w:hint="eastAsia"/>
                <w:color w:val="auto"/>
                <w:lang w:val="en-US" w:eastAsia="zh-CN"/>
              </w:rPr>
            </w:pPr>
            <w:r>
              <w:rPr>
                <w:rFonts w:hint="eastAsia"/>
                <w:color w:val="auto"/>
                <w:lang w:val="en-US" w:eastAsia="zh-CN"/>
              </w:rPr>
              <w:t>6、讲解员及文职人员的筛选由双方一致协商同意后确定，讲解员及文职人员需提供近三个月内南宁市二级以上医疗机构入职体检合格报告。</w:t>
            </w:r>
          </w:p>
          <w:p>
            <w:pPr>
              <w:pStyle w:val="2"/>
              <w:rPr>
                <w:rFonts w:hint="eastAsia"/>
                <w:color w:val="auto"/>
                <w:lang w:val="en-US" w:eastAsia="zh-CN"/>
              </w:rPr>
            </w:pPr>
            <w:r>
              <w:rPr>
                <w:rFonts w:hint="eastAsia"/>
                <w:color w:val="auto"/>
                <w:lang w:val="en-US" w:eastAsia="zh-CN"/>
              </w:rPr>
              <w:t>7、讲解员及文职人员资质要求：讲解员要求大专及以上学历，普通话标准，性格开朗活泼、表达能力强、随机应变能力强、形象气质佳、品行端正、服从管理；文职人员要求大专及以上学历，熟练办公软件，普通话标准、具有良好的沟通协调能力，品行端正、服从管理。</w:t>
            </w:r>
          </w:p>
          <w:p>
            <w:pPr>
              <w:pStyle w:val="2"/>
              <w:rPr>
                <w:rFonts w:hint="default"/>
                <w:b w:val="0"/>
                <w:bCs w:val="0"/>
                <w:color w:val="auto"/>
                <w:lang w:val="en-US" w:eastAsia="zh-CN"/>
              </w:rPr>
            </w:pPr>
            <w:r>
              <w:rPr>
                <w:rFonts w:hint="eastAsia"/>
                <w:b w:val="0"/>
                <w:bCs w:val="0"/>
                <w:color w:val="auto"/>
                <w:lang w:val="en-US" w:eastAsia="zh-CN"/>
              </w:rPr>
              <w:t>8、乙方必须遵守南宁中心血站各项规章制度。爱护场馆内所有设施及物品，如有恶意毁坏或遗失，乙方在管理责任范围内照价赔偿。</w:t>
            </w:r>
          </w:p>
          <w:p>
            <w:pPr>
              <w:numPr>
                <w:ilvl w:val="0"/>
                <w:numId w:val="0"/>
              </w:numPr>
              <w:spacing w:line="276" w:lineRule="auto"/>
              <w:rPr>
                <w:rFonts w:hint="eastAsia"/>
                <w:b w:val="0"/>
                <w:bCs w:val="0"/>
                <w:color w:val="auto"/>
                <w:lang w:val="en-US" w:eastAsia="zh-CN"/>
              </w:rPr>
            </w:pPr>
            <w:r>
              <w:rPr>
                <w:rFonts w:hint="eastAsia"/>
                <w:b w:val="0"/>
                <w:bCs w:val="0"/>
                <w:color w:val="auto"/>
                <w:lang w:val="en-US" w:eastAsia="zh-CN"/>
              </w:rPr>
              <w:t>三、出现以下情况之一的，活动举办方有权终止合作协议：</w:t>
            </w:r>
          </w:p>
          <w:p>
            <w:pPr>
              <w:numPr>
                <w:ilvl w:val="0"/>
                <w:numId w:val="0"/>
              </w:numPr>
              <w:spacing w:line="276" w:lineRule="auto"/>
              <w:rPr>
                <w:rFonts w:hint="eastAsia"/>
                <w:b w:val="0"/>
                <w:bCs w:val="0"/>
                <w:color w:val="auto"/>
                <w:lang w:val="en-US" w:eastAsia="zh-CN"/>
              </w:rPr>
            </w:pPr>
            <w:r>
              <w:rPr>
                <w:rFonts w:hint="eastAsia"/>
                <w:b w:val="0"/>
                <w:bCs w:val="0"/>
                <w:color w:val="auto"/>
                <w:lang w:val="en-US" w:eastAsia="zh-CN"/>
              </w:rPr>
              <w:t>1、甲方根据日常沟通对接配合度、服务满意度及参观者投诉情况，对乙方进行综合评价，在尊重事实、平等沟通的基础上，甲方对乙方评价结果为不合格，如继续履行合同将损害甲方利益或造成不良影响的情形。</w:t>
            </w:r>
          </w:p>
          <w:p>
            <w:pPr>
              <w:numPr>
                <w:ilvl w:val="0"/>
                <w:numId w:val="0"/>
              </w:numPr>
              <w:spacing w:line="276" w:lineRule="auto"/>
              <w:rPr>
                <w:rFonts w:hint="eastAsia"/>
                <w:b w:val="0"/>
                <w:bCs w:val="0"/>
                <w:lang w:val="en-US" w:eastAsia="zh-CN"/>
              </w:rPr>
            </w:pPr>
            <w:r>
              <w:rPr>
                <w:rFonts w:hint="eastAsia"/>
                <w:b w:val="0"/>
                <w:bCs w:val="0"/>
                <w:lang w:val="en-US" w:eastAsia="zh-CN"/>
              </w:rPr>
              <w:t>2、活动中出现开具虚假发票的情况；</w:t>
            </w:r>
          </w:p>
          <w:p>
            <w:pPr>
              <w:numPr>
                <w:ilvl w:val="0"/>
                <w:numId w:val="0"/>
              </w:numPr>
              <w:spacing w:line="276" w:lineRule="auto"/>
              <w:rPr>
                <w:rFonts w:hint="eastAsia"/>
                <w:b w:val="0"/>
                <w:bCs w:val="0"/>
                <w:lang w:val="en-US" w:eastAsia="zh-CN"/>
              </w:rPr>
            </w:pPr>
            <w:r>
              <w:rPr>
                <w:rFonts w:hint="eastAsia"/>
                <w:b w:val="0"/>
                <w:bCs w:val="0"/>
                <w:lang w:val="en-US" w:eastAsia="zh-CN"/>
              </w:rPr>
              <w:t>3、活动中出现重大安全事故，造成人员重伤、残疾或死亡；</w:t>
            </w:r>
          </w:p>
          <w:p>
            <w:pPr>
              <w:numPr>
                <w:ilvl w:val="0"/>
                <w:numId w:val="0"/>
              </w:numPr>
              <w:spacing w:line="276" w:lineRule="auto"/>
              <w:rPr>
                <w:rFonts w:hint="eastAsia"/>
                <w:b w:val="0"/>
                <w:bCs w:val="0"/>
                <w:lang w:val="en-US" w:eastAsia="zh-CN"/>
              </w:rPr>
            </w:pPr>
            <w:r>
              <w:rPr>
                <w:rFonts w:hint="eastAsia"/>
                <w:b w:val="0"/>
                <w:bCs w:val="0"/>
                <w:lang w:val="en-US" w:eastAsia="zh-CN"/>
              </w:rPr>
              <w:t>4、活动过程违反国家相关规定法律法规。</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hint="eastAsia" w:ascii="宋体" w:hAnsi="宋体"/>
                <w:szCs w:val="21"/>
              </w:rPr>
              <w:t>商务</w:t>
            </w:r>
            <w:r>
              <w:rPr>
                <w:rFonts w:ascii="宋体" w:hAnsi="宋体"/>
                <w:szCs w:val="21"/>
              </w:rPr>
              <w:t>条款</w:t>
            </w:r>
          </w:p>
        </w:tc>
        <w:tc>
          <w:tcPr>
            <w:tcW w:w="10210" w:type="dxa"/>
            <w:gridSpan w:val="3"/>
            <w:tcBorders>
              <w:top w:val="single" w:color="auto" w:sz="4" w:space="0"/>
              <w:left w:val="single" w:color="auto" w:sz="4" w:space="0"/>
              <w:bottom w:val="single" w:color="auto" w:sz="4" w:space="0"/>
              <w:right w:val="single" w:color="auto" w:sz="4" w:space="0"/>
            </w:tcBorders>
            <w:vAlign w:val="center"/>
          </w:tcPr>
          <w:p>
            <w:pPr>
              <w:spacing w:line="420" w:lineRule="exact"/>
              <w:rPr>
                <w:rFonts w:hint="eastAsia" w:ascii="宋体" w:hAnsi="宋体" w:eastAsiaTheme="minorEastAsia"/>
                <w:szCs w:val="21"/>
                <w:lang w:eastAsia="zh-CN"/>
              </w:rPr>
            </w:pPr>
            <w:r>
              <w:rPr>
                <w:rFonts w:hint="eastAsia" w:ascii="宋体" w:hAnsi="宋体" w:eastAsiaTheme="minorEastAsia"/>
                <w:szCs w:val="21"/>
                <w:lang w:eastAsia="zh-CN"/>
              </w:rPr>
              <w:t>一、合同签订期：自中标通知书发出之日起 5 日内</w:t>
            </w:r>
          </w:p>
          <w:p>
            <w:pPr>
              <w:spacing w:line="420" w:lineRule="exact"/>
              <w:rPr>
                <w:rFonts w:hint="eastAsia" w:ascii="宋体" w:hAnsi="宋体" w:eastAsiaTheme="minorEastAsia"/>
                <w:szCs w:val="21"/>
                <w:lang w:eastAsia="zh-CN"/>
              </w:rPr>
            </w:pPr>
            <w:r>
              <w:rPr>
                <w:rFonts w:hint="eastAsia" w:ascii="宋体" w:hAnsi="宋体" w:eastAsiaTheme="minorEastAsia"/>
                <w:szCs w:val="21"/>
                <w:lang w:eastAsia="zh-CN"/>
              </w:rPr>
              <w:t>二、提交服务成果时间：自合同签订之日起至所有活动举办完毕。</w:t>
            </w:r>
          </w:p>
          <w:p>
            <w:pPr>
              <w:spacing w:line="420" w:lineRule="exact"/>
              <w:rPr>
                <w:rFonts w:hint="eastAsia" w:ascii="宋体" w:hAnsi="宋体" w:eastAsiaTheme="minorEastAsia"/>
                <w:szCs w:val="21"/>
                <w:lang w:eastAsia="zh-CN"/>
              </w:rPr>
            </w:pPr>
            <w:r>
              <w:rPr>
                <w:rFonts w:hint="eastAsia" w:ascii="宋体" w:hAnsi="宋体" w:eastAsiaTheme="minorEastAsia"/>
                <w:szCs w:val="21"/>
                <w:lang w:eastAsia="zh-CN"/>
              </w:rPr>
              <w:t>三、提交服务成果地点：采购人指定地点。</w:t>
            </w:r>
          </w:p>
          <w:p>
            <w:pPr>
              <w:spacing w:line="420" w:lineRule="exact"/>
              <w:rPr>
                <w:rFonts w:hint="eastAsia" w:ascii="宋体" w:hAnsi="宋体" w:eastAsiaTheme="minorEastAsia"/>
                <w:szCs w:val="21"/>
                <w:lang w:eastAsia="zh-CN"/>
              </w:rPr>
            </w:pPr>
            <w:r>
              <w:rPr>
                <w:rFonts w:hint="eastAsia" w:ascii="宋体" w:hAnsi="宋体" w:eastAsiaTheme="minorEastAsia"/>
                <w:szCs w:val="21"/>
                <w:lang w:eastAsia="zh-CN"/>
              </w:rPr>
              <w:t>四、售后服务要求：</w:t>
            </w:r>
          </w:p>
          <w:p>
            <w:pPr>
              <w:spacing w:line="420" w:lineRule="exact"/>
              <w:rPr>
                <w:rFonts w:hint="eastAsia" w:ascii="宋体" w:hAnsi="宋体" w:eastAsiaTheme="minorEastAsia"/>
                <w:szCs w:val="21"/>
                <w:lang w:eastAsia="zh-CN"/>
              </w:rPr>
            </w:pPr>
            <w:r>
              <w:rPr>
                <w:rFonts w:hint="eastAsia" w:ascii="宋体" w:hAnsi="宋体" w:eastAsiaTheme="minorEastAsia"/>
                <w:szCs w:val="21"/>
                <w:lang w:eastAsia="zh-CN"/>
              </w:rPr>
              <w:t>（一）质量保证期：自提供服务至服务验收合格之日止。</w:t>
            </w:r>
          </w:p>
          <w:p>
            <w:pPr>
              <w:spacing w:line="420" w:lineRule="exact"/>
              <w:rPr>
                <w:rFonts w:hint="eastAsia" w:ascii="宋体" w:hAnsi="宋体" w:eastAsiaTheme="minorEastAsia"/>
                <w:szCs w:val="21"/>
                <w:lang w:eastAsia="zh-CN"/>
              </w:rPr>
            </w:pPr>
            <w:r>
              <w:rPr>
                <w:rFonts w:hint="eastAsia" w:ascii="宋体" w:hAnsi="宋体" w:eastAsiaTheme="minorEastAsia"/>
                <w:szCs w:val="21"/>
                <w:lang w:eastAsia="zh-CN"/>
              </w:rPr>
              <w:t>（二）处理问题响应时间：接到采购人处理问题通知后 2 小时内到达采购人指定现场。</w:t>
            </w:r>
          </w:p>
          <w:p>
            <w:pPr>
              <w:spacing w:line="420" w:lineRule="exact"/>
              <w:rPr>
                <w:rFonts w:hint="eastAsia" w:ascii="宋体" w:hAnsi="宋体" w:eastAsiaTheme="minorEastAsia"/>
                <w:szCs w:val="21"/>
                <w:lang w:eastAsia="zh-CN"/>
              </w:rPr>
            </w:pPr>
            <w:r>
              <w:rPr>
                <w:rFonts w:hint="eastAsia" w:ascii="宋体" w:hAnsi="宋体" w:eastAsiaTheme="minorEastAsia"/>
                <w:szCs w:val="21"/>
                <w:lang w:eastAsia="zh-CN"/>
              </w:rPr>
              <w:t>五、付款方式：</w:t>
            </w:r>
          </w:p>
          <w:p>
            <w:pPr>
              <w:spacing w:line="420" w:lineRule="exact"/>
              <w:rPr>
                <w:rFonts w:hint="eastAsia" w:ascii="宋体" w:hAnsi="宋体" w:eastAsiaTheme="minorEastAsia"/>
                <w:szCs w:val="21"/>
                <w:lang w:eastAsia="zh-CN"/>
              </w:rPr>
            </w:pPr>
            <w:r>
              <w:rPr>
                <w:rFonts w:hint="eastAsia" w:ascii="宋体" w:hAnsi="宋体" w:eastAsiaTheme="minorEastAsia"/>
                <w:szCs w:val="21"/>
                <w:lang w:eastAsia="zh-CN"/>
              </w:rPr>
              <w:t>（一）本项目合同签订后5个工作日内支付30%预付款，第二季度支付合同金额20%，第三季度支付合同金额20%，第四季度验收合格后支付剩余合同金额30%。</w:t>
            </w:r>
          </w:p>
          <w:p>
            <w:pPr>
              <w:spacing w:line="420" w:lineRule="exact"/>
              <w:rPr>
                <w:rFonts w:hint="eastAsia" w:ascii="宋体" w:hAnsi="宋体" w:eastAsiaTheme="minorEastAsia"/>
                <w:szCs w:val="21"/>
                <w:lang w:eastAsia="zh-CN"/>
              </w:rPr>
            </w:pPr>
            <w:r>
              <w:rPr>
                <w:rFonts w:hint="eastAsia" w:ascii="宋体" w:hAnsi="宋体" w:eastAsiaTheme="minorEastAsia"/>
                <w:szCs w:val="21"/>
                <w:lang w:eastAsia="zh-CN"/>
              </w:rPr>
              <w:t>（二）本项目合同共分四次支付合同款（活动的最终结算金额以活动实际产生费用为准）。</w:t>
            </w:r>
          </w:p>
          <w:p>
            <w:pPr>
              <w:spacing w:line="420" w:lineRule="exact"/>
              <w:rPr>
                <w:rFonts w:hint="eastAsia" w:ascii="宋体" w:hAnsi="宋体" w:eastAsiaTheme="minorEastAsia"/>
                <w:szCs w:val="21"/>
                <w:lang w:eastAsia="zh-CN"/>
              </w:rPr>
            </w:pPr>
            <w:r>
              <w:rPr>
                <w:rFonts w:hint="eastAsia" w:ascii="宋体" w:hAnsi="宋体" w:eastAsiaTheme="minorEastAsia"/>
                <w:szCs w:val="21"/>
                <w:lang w:eastAsia="zh-CN"/>
              </w:rPr>
              <w:t>（三）中标人应按招标人要求开具正规发票。</w:t>
            </w:r>
          </w:p>
          <w:p>
            <w:pPr>
              <w:spacing w:line="420" w:lineRule="exact"/>
              <w:rPr>
                <w:rFonts w:hint="eastAsia" w:ascii="宋体" w:hAnsi="宋体" w:eastAsiaTheme="minorEastAsia"/>
                <w:szCs w:val="21"/>
                <w:lang w:eastAsia="zh-CN"/>
              </w:rPr>
            </w:pPr>
            <w:r>
              <w:rPr>
                <w:rFonts w:hint="eastAsia" w:ascii="宋体" w:hAnsi="宋体" w:eastAsiaTheme="minorEastAsia"/>
                <w:szCs w:val="21"/>
                <w:lang w:eastAsia="zh-CN"/>
              </w:rPr>
              <w:t>六、验收标准：</w:t>
            </w:r>
          </w:p>
          <w:p>
            <w:pPr>
              <w:spacing w:line="420" w:lineRule="exact"/>
              <w:rPr>
                <w:rFonts w:hint="eastAsia" w:ascii="宋体" w:hAnsi="宋体" w:eastAsiaTheme="minorEastAsia"/>
                <w:szCs w:val="21"/>
                <w:lang w:eastAsia="zh-CN"/>
              </w:rPr>
            </w:pPr>
            <w:r>
              <w:rPr>
                <w:rFonts w:hint="eastAsia" w:ascii="宋体" w:hAnsi="宋体" w:eastAsiaTheme="minorEastAsia"/>
                <w:szCs w:val="21"/>
                <w:lang w:eastAsia="zh-CN"/>
              </w:rPr>
              <w:t>（一）本项目合同期限最后一个月，中标人可向</w:t>
            </w:r>
            <w:r>
              <w:rPr>
                <w:rFonts w:hint="eastAsia" w:ascii="宋体" w:hAnsi="宋体"/>
                <w:szCs w:val="21"/>
                <w:lang w:eastAsia="zh-CN"/>
              </w:rPr>
              <w:t>采购</w:t>
            </w:r>
            <w:r>
              <w:rPr>
                <w:rFonts w:hint="eastAsia" w:ascii="宋体" w:hAnsi="宋体" w:eastAsiaTheme="minorEastAsia"/>
                <w:szCs w:val="21"/>
                <w:lang w:eastAsia="zh-CN"/>
              </w:rPr>
              <w:t>人申请验收。</w:t>
            </w:r>
          </w:p>
          <w:p>
            <w:pPr>
              <w:spacing w:line="420" w:lineRule="exact"/>
              <w:rPr>
                <w:rFonts w:hint="eastAsia" w:ascii="宋体" w:hAnsi="宋体" w:eastAsiaTheme="minorEastAsia"/>
                <w:szCs w:val="21"/>
                <w:lang w:eastAsia="zh-CN"/>
              </w:rPr>
            </w:pPr>
            <w:r>
              <w:rPr>
                <w:rFonts w:hint="eastAsia" w:ascii="宋体" w:hAnsi="宋体" w:eastAsiaTheme="minorEastAsia"/>
                <w:szCs w:val="21"/>
                <w:lang w:eastAsia="zh-CN"/>
              </w:rPr>
              <w:t>（二）</w:t>
            </w:r>
            <w:r>
              <w:rPr>
                <w:rFonts w:hint="eastAsia" w:ascii="宋体" w:hAnsi="宋体"/>
                <w:szCs w:val="21"/>
                <w:lang w:eastAsia="zh-CN"/>
              </w:rPr>
              <w:t>采购</w:t>
            </w:r>
            <w:r>
              <w:rPr>
                <w:rFonts w:hint="eastAsia" w:ascii="宋体" w:hAnsi="宋体" w:eastAsiaTheme="minorEastAsia"/>
                <w:szCs w:val="21"/>
                <w:lang w:eastAsia="zh-CN"/>
              </w:rPr>
              <w:t>人将组织验收小组对中标人的服务情况进行验收，验收着重考察中标人所提供的服务是否满足本项目服务要求，验收完成后验收小组将出具验收报告。</w:t>
            </w:r>
          </w:p>
          <w:p>
            <w:pPr>
              <w:spacing w:line="420" w:lineRule="exact"/>
              <w:rPr>
                <w:rFonts w:hint="eastAsia" w:ascii="宋体" w:hAnsi="宋体" w:eastAsiaTheme="minorEastAsia"/>
                <w:szCs w:val="21"/>
                <w:lang w:eastAsia="zh-CN"/>
              </w:rPr>
            </w:pPr>
            <w:r>
              <w:rPr>
                <w:rFonts w:hint="eastAsia" w:ascii="宋体" w:hAnsi="宋体" w:eastAsiaTheme="minorEastAsia"/>
                <w:szCs w:val="21"/>
                <w:lang w:eastAsia="zh-CN"/>
              </w:rPr>
              <w:t>（三）中标人首次验收不合格的，可由中标人在收到验收报告之日起5个工作日内申请重新验收，若重新验收不合格的，则将被视为违约。</w:t>
            </w:r>
          </w:p>
          <w:p>
            <w:pPr>
              <w:spacing w:line="420" w:lineRule="exact"/>
              <w:rPr>
                <w:rFonts w:hint="eastAsia" w:ascii="宋体" w:hAnsi="宋体" w:eastAsiaTheme="minorEastAsia"/>
                <w:szCs w:val="21"/>
                <w:lang w:eastAsia="zh-CN"/>
              </w:rPr>
            </w:pPr>
            <w:r>
              <w:rPr>
                <w:rFonts w:hint="eastAsia" w:ascii="宋体" w:hAnsi="宋体" w:eastAsiaTheme="minorEastAsia"/>
                <w:szCs w:val="21"/>
                <w:lang w:eastAsia="zh-CN"/>
              </w:rPr>
              <w:t>七、违约条款：</w:t>
            </w:r>
          </w:p>
          <w:p>
            <w:pPr>
              <w:spacing w:line="420" w:lineRule="exact"/>
              <w:rPr>
                <w:rFonts w:hint="eastAsia" w:ascii="宋体" w:hAnsi="宋体" w:eastAsiaTheme="minorEastAsia"/>
                <w:szCs w:val="21"/>
                <w:lang w:eastAsia="zh-CN"/>
              </w:rPr>
            </w:pPr>
            <w:r>
              <w:rPr>
                <w:rFonts w:hint="eastAsia" w:ascii="宋体" w:hAnsi="宋体" w:eastAsiaTheme="minorEastAsia"/>
                <w:szCs w:val="21"/>
                <w:lang w:eastAsia="zh-CN"/>
              </w:rPr>
              <w:t>（一）中标人未按合同履行义务、未按服务要求提供服务或验收不合格的，将视为违约。</w:t>
            </w:r>
          </w:p>
          <w:p>
            <w:pPr>
              <w:spacing w:line="420" w:lineRule="exact"/>
              <w:rPr>
                <w:rFonts w:hint="eastAsia" w:ascii="宋体" w:hAnsi="宋体" w:eastAsiaTheme="minorEastAsia"/>
                <w:szCs w:val="21"/>
                <w:lang w:eastAsia="zh-CN"/>
              </w:rPr>
            </w:pPr>
            <w:r>
              <w:rPr>
                <w:rFonts w:hint="eastAsia" w:ascii="宋体" w:hAnsi="宋体" w:eastAsiaTheme="minorEastAsia"/>
                <w:szCs w:val="21"/>
                <w:lang w:eastAsia="zh-CN"/>
              </w:rPr>
              <w:t>（二）中标人违约的，应全额退回招标人已支付的合同款项，并须向招标人赔偿合同金额50%的违约金作为经济补偿。</w:t>
            </w:r>
          </w:p>
        </w:tc>
      </w:tr>
    </w:tbl>
    <w:p>
      <w:pPr>
        <w:pStyle w:val="4"/>
        <w:ind w:firstLine="210" w:firstLineChars="100"/>
        <w:rPr>
          <w:rFonts w:asciiTheme="minorEastAsia" w:hAnsiTheme="minorEastAsia" w:eastAsiaTheme="minorEastAsia" w:cstheme="minorEastAsia"/>
          <w:szCs w:val="21"/>
        </w:rPr>
      </w:pPr>
    </w:p>
    <w:p>
      <w:pPr>
        <w:pStyle w:val="4"/>
        <w:jc w:val="left"/>
        <w:rPr>
          <w:rFonts w:hint="default"/>
          <w:b/>
          <w:sz w:val="32"/>
          <w:lang w:val="en-US" w:eastAsia="zh-CN"/>
        </w:rPr>
      </w:pPr>
    </w:p>
    <w:p>
      <w:pPr>
        <w:pStyle w:val="4"/>
        <w:jc w:val="left"/>
        <w:rPr>
          <w:rFonts w:hint="default"/>
          <w:b/>
          <w:sz w:val="32"/>
          <w:lang w:val="en-US" w:eastAsia="zh-CN"/>
        </w:rPr>
      </w:pPr>
    </w:p>
    <w:p>
      <w:pPr>
        <w:pStyle w:val="4"/>
        <w:jc w:val="left"/>
        <w:rPr>
          <w:rFonts w:hint="default"/>
          <w:b/>
          <w:sz w:val="32"/>
          <w:lang w:val="en-US" w:eastAsia="zh-CN"/>
        </w:rPr>
      </w:pPr>
    </w:p>
    <w:p>
      <w:pPr>
        <w:pStyle w:val="4"/>
        <w:jc w:val="left"/>
        <w:rPr>
          <w:rFonts w:hint="default"/>
          <w:b/>
          <w:sz w:val="32"/>
          <w:lang w:val="en-US" w:eastAsia="zh-CN"/>
        </w:rPr>
      </w:pPr>
    </w:p>
    <w:p>
      <w:pPr>
        <w:pStyle w:val="4"/>
        <w:jc w:val="left"/>
        <w:rPr>
          <w:rFonts w:hint="default"/>
          <w:b/>
          <w:sz w:val="32"/>
          <w:lang w:val="en-US" w:eastAsia="zh-CN"/>
        </w:rPr>
      </w:pPr>
    </w:p>
    <w:p>
      <w:pPr>
        <w:pStyle w:val="3"/>
        <w:numPr>
          <w:ilvl w:val="3"/>
          <w:numId w:val="0"/>
        </w:numPr>
        <w:rPr>
          <w:rFonts w:hint="default"/>
          <w:lang w:val="en-US" w:eastAsia="zh-CN"/>
        </w:rPr>
      </w:pPr>
    </w:p>
    <w:p>
      <w:pPr>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outlineLvl w:val="0"/>
        <w:rPr>
          <w:rFonts w:hint="default" w:ascii="宋体" w:hAnsi="Courier New" w:eastAsiaTheme="minorEastAsia" w:cstheme="minorBidi"/>
          <w:b/>
          <w:kern w:val="2"/>
          <w:sz w:val="32"/>
          <w:szCs w:val="20"/>
          <w:lang w:val="en-US" w:eastAsia="zh-CN" w:bidi="ar-SA"/>
        </w:rPr>
      </w:pPr>
      <w:r>
        <w:rPr>
          <w:rFonts w:hint="eastAsia" w:ascii="宋体" w:hAnsi="Courier New" w:eastAsiaTheme="minorEastAsia" w:cstheme="minorBidi"/>
          <w:b/>
          <w:kern w:val="2"/>
          <w:sz w:val="32"/>
          <w:szCs w:val="20"/>
          <w:lang w:val="en-US" w:eastAsia="zh-CN" w:bidi="ar-SA"/>
        </w:rPr>
        <w:t>附件</w:t>
      </w:r>
      <w:r>
        <w:rPr>
          <w:rFonts w:hint="eastAsia" w:ascii="宋体" w:hAnsi="Courier New" w:cstheme="minorBidi"/>
          <w:b/>
          <w:kern w:val="2"/>
          <w:sz w:val="32"/>
          <w:szCs w:val="20"/>
          <w:lang w:val="en-US" w:eastAsia="zh-CN" w:bidi="ar-SA"/>
        </w:rPr>
        <w:t>2</w:t>
      </w:r>
    </w:p>
    <w:p>
      <w:pPr>
        <w:pStyle w:val="4"/>
        <w:spacing w:line="500" w:lineRule="exact"/>
        <w:jc w:val="center"/>
        <w:rPr>
          <w:rFonts w:hAnsi="宋体"/>
          <w:b/>
          <w:bCs/>
          <w:sz w:val="30"/>
          <w:szCs w:val="30"/>
        </w:rPr>
      </w:pPr>
      <w:r>
        <w:rPr>
          <w:rFonts w:hint="eastAsia" w:hAnsi="宋体"/>
          <w:b/>
          <w:bCs/>
          <w:sz w:val="30"/>
          <w:szCs w:val="30"/>
        </w:rPr>
        <w:t>响应服务技术资料表</w:t>
      </w:r>
    </w:p>
    <w:p>
      <w:pPr>
        <w:pStyle w:val="4"/>
        <w:ind w:firstLine="210" w:firstLineChars="100"/>
        <w:rPr>
          <w:rFonts w:hAnsi="宋体"/>
        </w:rPr>
      </w:pPr>
    </w:p>
    <w:p>
      <w:pPr>
        <w:pStyle w:val="4"/>
        <w:spacing w:line="440" w:lineRule="exact"/>
        <w:ind w:firstLine="420" w:firstLineChars="200"/>
        <w:rPr>
          <w:rFonts w:asciiTheme="minorEastAsia" w:hAnsiTheme="minorEastAsia"/>
          <w:szCs w:val="21"/>
        </w:rPr>
      </w:pPr>
      <w:r>
        <w:rPr>
          <w:rFonts w:hint="eastAsia" w:asciiTheme="minorEastAsia" w:hAnsiTheme="minorEastAsia"/>
          <w:szCs w:val="21"/>
        </w:rPr>
        <w:t>请根据所提供服务的实际参数，逐条对应本项目</w:t>
      </w:r>
      <w:r>
        <w:rPr>
          <w:rFonts w:hint="eastAsia" w:asciiTheme="minorEastAsia" w:hAnsiTheme="minorEastAsia"/>
          <w:szCs w:val="21"/>
          <w:lang w:eastAsia="zh-CN"/>
        </w:rPr>
        <w:t>附件</w:t>
      </w:r>
      <w:r>
        <w:rPr>
          <w:rFonts w:hint="eastAsia" w:asciiTheme="minorEastAsia" w:hAnsiTheme="minorEastAsia"/>
          <w:szCs w:val="21"/>
          <w:lang w:val="en-US" w:eastAsia="zh-CN"/>
        </w:rPr>
        <w:t>1</w:t>
      </w:r>
      <w:r>
        <w:rPr>
          <w:rFonts w:hint="eastAsia" w:asciiTheme="minorEastAsia" w:hAnsiTheme="minorEastAsia"/>
          <w:szCs w:val="21"/>
        </w:rPr>
        <w:t>“服务需求一览表”中</w:t>
      </w:r>
      <w:r>
        <w:rPr>
          <w:rFonts w:hAnsi="宋体"/>
          <w:szCs w:val="21"/>
        </w:rPr>
        <w:t>的服务内容及要求详细填写相应的具体内容</w:t>
      </w:r>
      <w:r>
        <w:rPr>
          <w:rFonts w:hint="eastAsia" w:asciiTheme="minorEastAsia" w:hAnsiTheme="minorEastAsia"/>
          <w:szCs w:val="21"/>
        </w:rPr>
        <w:t>。“偏离说明”一栏选择“正偏离”、“负偏离”或“无偏离”进行填写。</w:t>
      </w:r>
    </w:p>
    <w:p>
      <w:pPr>
        <w:pStyle w:val="4"/>
        <w:rPr>
          <w:rFonts w:hAnsi="宋体"/>
          <w:szCs w:val="21"/>
        </w:rPr>
      </w:pPr>
    </w:p>
    <w:p>
      <w:pPr>
        <w:pStyle w:val="4"/>
        <w:rPr>
          <w:rFonts w:hAnsi="宋体"/>
          <w:szCs w:val="21"/>
        </w:rPr>
      </w:pPr>
      <w:r>
        <w:rPr>
          <w:rFonts w:hint="eastAsia" w:hAnsi="宋体"/>
          <w:szCs w:val="21"/>
          <w:u w:val="single"/>
        </w:rPr>
        <w:t>　　</w:t>
      </w:r>
      <w:r>
        <w:rPr>
          <w:rFonts w:hint="eastAsia" w:hAnsi="宋体"/>
          <w:szCs w:val="21"/>
        </w:rPr>
        <w:t>分项（有分项时填写）</w:t>
      </w:r>
    </w:p>
    <w:tbl>
      <w:tblPr>
        <w:tblStyle w:val="7"/>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257"/>
        <w:gridCol w:w="2125"/>
        <w:gridCol w:w="1340"/>
        <w:gridCol w:w="2765"/>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735" w:type="dxa"/>
            <w:vMerge w:val="restart"/>
            <w:vAlign w:val="center"/>
          </w:tcPr>
          <w:p>
            <w:pPr>
              <w:pStyle w:val="4"/>
              <w:jc w:val="center"/>
              <w:rPr>
                <w:rFonts w:hAnsi="宋体"/>
                <w:spacing w:val="-20"/>
                <w:szCs w:val="21"/>
              </w:rPr>
            </w:pPr>
            <w:r>
              <w:rPr>
                <w:rFonts w:hint="eastAsia" w:hAnsi="宋体"/>
                <w:spacing w:val="-20"/>
                <w:szCs w:val="21"/>
              </w:rPr>
              <w:t>序号</w:t>
            </w:r>
          </w:p>
        </w:tc>
        <w:tc>
          <w:tcPr>
            <w:tcW w:w="3382" w:type="dxa"/>
            <w:gridSpan w:val="2"/>
            <w:vAlign w:val="center"/>
          </w:tcPr>
          <w:p>
            <w:pPr>
              <w:jc w:val="center"/>
              <w:rPr>
                <w:rFonts w:ascii="宋体"/>
                <w:szCs w:val="21"/>
              </w:rPr>
            </w:pPr>
            <w:r>
              <w:rPr>
                <w:rFonts w:hint="eastAsia" w:ascii="宋体" w:hAnsi="宋体"/>
                <w:szCs w:val="21"/>
              </w:rPr>
              <w:t>竞争性磋商文件需求</w:t>
            </w:r>
          </w:p>
        </w:tc>
        <w:tc>
          <w:tcPr>
            <w:tcW w:w="4105" w:type="dxa"/>
            <w:gridSpan w:val="2"/>
            <w:vAlign w:val="center"/>
          </w:tcPr>
          <w:p>
            <w:pPr>
              <w:jc w:val="center"/>
              <w:rPr>
                <w:rFonts w:ascii="宋体"/>
                <w:szCs w:val="21"/>
              </w:rPr>
            </w:pPr>
            <w:r>
              <w:rPr>
                <w:rFonts w:hint="eastAsia" w:ascii="宋体" w:hAnsi="宋体"/>
                <w:szCs w:val="21"/>
              </w:rPr>
              <w:t>响应文件承诺</w:t>
            </w:r>
          </w:p>
        </w:tc>
        <w:tc>
          <w:tcPr>
            <w:tcW w:w="1417" w:type="dxa"/>
            <w:vMerge w:val="restart"/>
            <w:vAlign w:val="center"/>
          </w:tcPr>
          <w:p>
            <w:pPr>
              <w:jc w:val="center"/>
              <w:rPr>
                <w:rFonts w:ascii="宋体"/>
                <w:szCs w:val="21"/>
              </w:rPr>
            </w:pPr>
            <w:r>
              <w:rPr>
                <w:rFonts w:hint="eastAsia" w:ascii="宋体" w:hAnsi="宋体"/>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735" w:type="dxa"/>
            <w:vMerge w:val="continue"/>
            <w:vAlign w:val="center"/>
          </w:tcPr>
          <w:p>
            <w:pPr>
              <w:pStyle w:val="4"/>
              <w:jc w:val="center"/>
              <w:rPr>
                <w:rFonts w:hAnsi="宋体"/>
                <w:spacing w:val="-20"/>
                <w:szCs w:val="21"/>
              </w:rPr>
            </w:pPr>
          </w:p>
        </w:tc>
        <w:tc>
          <w:tcPr>
            <w:tcW w:w="1257" w:type="dxa"/>
            <w:vAlign w:val="center"/>
          </w:tcPr>
          <w:p>
            <w:pPr>
              <w:jc w:val="center"/>
              <w:rPr>
                <w:rFonts w:ascii="宋体"/>
                <w:szCs w:val="21"/>
              </w:rPr>
            </w:pPr>
            <w:r>
              <w:rPr>
                <w:rFonts w:hint="eastAsia" w:ascii="宋体" w:hAnsi="宋体"/>
                <w:szCs w:val="21"/>
              </w:rPr>
              <w:t>服务名称</w:t>
            </w:r>
          </w:p>
        </w:tc>
        <w:tc>
          <w:tcPr>
            <w:tcW w:w="2125" w:type="dxa"/>
            <w:vAlign w:val="center"/>
          </w:tcPr>
          <w:p>
            <w:pPr>
              <w:jc w:val="center"/>
              <w:rPr>
                <w:rFonts w:ascii="宋体"/>
                <w:szCs w:val="21"/>
              </w:rPr>
            </w:pPr>
            <w:r>
              <w:rPr>
                <w:rFonts w:hint="eastAsia" w:ascii="宋体" w:hAnsi="宋体"/>
                <w:szCs w:val="21"/>
              </w:rPr>
              <w:t>服务内容及要求</w:t>
            </w:r>
          </w:p>
        </w:tc>
        <w:tc>
          <w:tcPr>
            <w:tcW w:w="1340" w:type="dxa"/>
            <w:vAlign w:val="center"/>
          </w:tcPr>
          <w:p>
            <w:pPr>
              <w:jc w:val="center"/>
              <w:rPr>
                <w:rFonts w:ascii="宋体"/>
                <w:szCs w:val="21"/>
              </w:rPr>
            </w:pPr>
            <w:r>
              <w:rPr>
                <w:rFonts w:hint="eastAsia" w:ascii="宋体" w:hAnsi="宋体"/>
                <w:szCs w:val="21"/>
              </w:rPr>
              <w:t>服务名称</w:t>
            </w:r>
          </w:p>
        </w:tc>
        <w:tc>
          <w:tcPr>
            <w:tcW w:w="2765" w:type="dxa"/>
            <w:vAlign w:val="center"/>
          </w:tcPr>
          <w:p>
            <w:pPr>
              <w:jc w:val="center"/>
              <w:rPr>
                <w:rFonts w:ascii="宋体"/>
                <w:szCs w:val="21"/>
              </w:rPr>
            </w:pPr>
            <w:r>
              <w:rPr>
                <w:rFonts w:hint="eastAsia" w:ascii="宋体" w:hAnsi="宋体"/>
                <w:szCs w:val="21"/>
              </w:rPr>
              <w:t>所提供服务的内容</w:t>
            </w:r>
          </w:p>
        </w:tc>
        <w:tc>
          <w:tcPr>
            <w:tcW w:w="1417" w:type="dxa"/>
            <w:vMerge w:val="continue"/>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pPr>
              <w:pStyle w:val="4"/>
              <w:jc w:val="center"/>
              <w:rPr>
                <w:rFonts w:hAnsi="宋体"/>
                <w:spacing w:val="-20"/>
                <w:szCs w:val="21"/>
              </w:rPr>
            </w:pPr>
            <w:r>
              <w:rPr>
                <w:rFonts w:hAnsi="宋体"/>
                <w:spacing w:val="-20"/>
                <w:szCs w:val="21"/>
              </w:rPr>
              <w:t>1</w:t>
            </w:r>
          </w:p>
        </w:tc>
        <w:tc>
          <w:tcPr>
            <w:tcW w:w="1257" w:type="dxa"/>
            <w:vAlign w:val="center"/>
          </w:tcPr>
          <w:p>
            <w:pPr>
              <w:rPr>
                <w:rFonts w:hAnsi="宋体"/>
                <w:szCs w:val="21"/>
              </w:rPr>
            </w:pPr>
            <w:r>
              <w:rPr>
                <w:rFonts w:hint="eastAsia" w:hAnsi="宋体"/>
                <w:szCs w:val="21"/>
              </w:rPr>
              <w:t>南宁中心血站血液智慧科普馆运营外包服务</w:t>
            </w:r>
          </w:p>
        </w:tc>
        <w:tc>
          <w:tcPr>
            <w:tcW w:w="2125" w:type="dxa"/>
            <w:vAlign w:val="center"/>
          </w:tcPr>
          <w:p>
            <w:pPr>
              <w:numPr>
                <w:ilvl w:val="0"/>
                <w:numId w:val="0"/>
              </w:numPr>
              <w:spacing w:line="276" w:lineRule="auto"/>
              <w:rPr>
                <w:rFonts w:hint="eastAsia"/>
                <w:b w:val="0"/>
                <w:bCs w:val="0"/>
                <w:lang w:val="en-US" w:eastAsia="zh-CN"/>
              </w:rPr>
            </w:pPr>
            <w:r>
              <w:rPr>
                <w:rFonts w:hint="eastAsia"/>
                <w:b w:val="0"/>
                <w:bCs w:val="0"/>
                <w:lang w:val="en-US" w:eastAsia="zh-CN"/>
              </w:rPr>
              <w:t>一、项目概况：</w:t>
            </w:r>
          </w:p>
          <w:p>
            <w:pPr>
              <w:numPr>
                <w:ilvl w:val="0"/>
                <w:numId w:val="0"/>
              </w:numPr>
              <w:spacing w:line="276" w:lineRule="auto"/>
              <w:rPr>
                <w:rFonts w:hint="eastAsia"/>
                <w:b w:val="0"/>
                <w:bCs w:val="0"/>
                <w:lang w:val="en-US" w:eastAsia="zh-CN"/>
              </w:rPr>
            </w:pPr>
            <w:r>
              <w:rPr>
                <w:rFonts w:hint="eastAsia"/>
                <w:b w:val="0"/>
                <w:bCs w:val="0"/>
                <w:lang w:val="en-US" w:eastAsia="zh-CN"/>
              </w:rPr>
              <w:t>为扩大无偿献血的宣传效果，提高公众对无偿献血的认识，树立无偿献血公益形象，拟通过对血站血液智慧科普馆进行运营，开展一系列的参展活动，增加智慧科普馆知名度，让更多市民了解更多血液知识，大力弘扬无偿献血公益正能量，从而实现献血人数的持续增长。</w:t>
            </w:r>
          </w:p>
          <w:p>
            <w:pPr>
              <w:numPr>
                <w:ilvl w:val="0"/>
                <w:numId w:val="0"/>
              </w:numPr>
              <w:spacing w:line="276" w:lineRule="auto"/>
              <w:rPr>
                <w:rFonts w:hint="eastAsia"/>
                <w:b w:val="0"/>
                <w:bCs w:val="0"/>
                <w:lang w:val="en-US" w:eastAsia="zh-CN"/>
              </w:rPr>
            </w:pPr>
            <w:r>
              <w:rPr>
                <w:rFonts w:hint="eastAsia"/>
                <w:b w:val="0"/>
                <w:bCs w:val="0"/>
                <w:lang w:val="en-US" w:eastAsia="zh-CN"/>
              </w:rPr>
              <w:t>二、服务要求：</w:t>
            </w:r>
          </w:p>
          <w:p>
            <w:pPr>
              <w:numPr>
                <w:ilvl w:val="0"/>
                <w:numId w:val="0"/>
              </w:numPr>
              <w:spacing w:line="276" w:lineRule="auto"/>
              <w:rPr>
                <w:rFonts w:hint="eastAsia"/>
                <w:b w:val="0"/>
                <w:bCs w:val="0"/>
                <w:lang w:val="en-US" w:eastAsia="zh-CN"/>
              </w:rPr>
            </w:pPr>
            <w:r>
              <w:rPr>
                <w:rFonts w:hint="eastAsia"/>
                <w:b w:val="0"/>
                <w:bCs w:val="0"/>
                <w:lang w:val="en-US" w:eastAsia="zh-CN"/>
              </w:rPr>
              <w:t>1、中标人须委派有丰富的单位活动组织、策划、执行经验、的执行团队开展服务，活动结束后应向采购人提供现场活动图片。</w:t>
            </w:r>
          </w:p>
          <w:p>
            <w:pPr>
              <w:numPr>
                <w:ilvl w:val="0"/>
                <w:numId w:val="0"/>
              </w:numPr>
              <w:spacing w:line="276" w:lineRule="auto"/>
              <w:rPr>
                <w:rFonts w:hint="eastAsia"/>
                <w:b w:val="0"/>
                <w:bCs w:val="0"/>
                <w:lang w:val="en-US" w:eastAsia="zh-CN"/>
              </w:rPr>
            </w:pPr>
            <w:r>
              <w:rPr>
                <w:rFonts w:hint="eastAsia"/>
                <w:b w:val="0"/>
                <w:bCs w:val="0"/>
                <w:lang w:val="en-US" w:eastAsia="zh-CN"/>
              </w:rPr>
              <w:t>2、全年总人流量达不少于1.5万人次，其中乙方策划招募活动成果要求中小学生不少于5000人次，企事业及社会人士等不少于2000人次 。如因不可抗拒因素，科普馆未能正常开馆，全年总人流量评定标准的调整以双方协商一致为准。</w:t>
            </w:r>
          </w:p>
          <w:p>
            <w:pPr>
              <w:numPr>
                <w:ilvl w:val="0"/>
                <w:numId w:val="0"/>
              </w:numPr>
              <w:spacing w:line="276" w:lineRule="auto"/>
              <w:rPr>
                <w:rFonts w:hint="eastAsia"/>
                <w:b w:val="0"/>
                <w:bCs w:val="0"/>
                <w:color w:val="auto"/>
                <w:lang w:val="en-US" w:eastAsia="zh-CN"/>
              </w:rPr>
            </w:pPr>
            <w:r>
              <w:rPr>
                <w:rFonts w:hint="eastAsia"/>
                <w:b w:val="0"/>
                <w:bCs w:val="0"/>
                <w:lang w:val="en-US" w:eastAsia="zh-CN"/>
              </w:rPr>
              <w:t>3、外包服务内容：讲解员1名长期在南宁中心血站驻点，文职人员1名，2人原则上下班时间为周二至周日，国家法定节假日双方可协商开馆时间，如有特殊接待任务甲方提前告知乙方，乙方第一时间做好接待准备</w:t>
            </w:r>
            <w:r>
              <w:rPr>
                <w:rFonts w:hint="eastAsia"/>
                <w:b w:val="0"/>
                <w:bCs w:val="0"/>
                <w:color w:val="auto"/>
                <w:lang w:val="en-US" w:eastAsia="zh-CN"/>
              </w:rPr>
              <w:t>。派驻血站的讲解员及文职人员相对固定，但两个岗位之间在掌握讲解内容及技巧的情况下可以适当轮转。</w:t>
            </w:r>
          </w:p>
          <w:p>
            <w:pPr>
              <w:numPr>
                <w:ilvl w:val="0"/>
                <w:numId w:val="0"/>
              </w:numPr>
              <w:spacing w:line="276" w:lineRule="auto"/>
              <w:rPr>
                <w:rFonts w:hint="eastAsia"/>
                <w:b w:val="0"/>
                <w:bCs w:val="0"/>
                <w:color w:val="auto"/>
                <w:lang w:val="en-US" w:eastAsia="zh-CN"/>
              </w:rPr>
            </w:pPr>
            <w:r>
              <w:rPr>
                <w:rFonts w:hint="eastAsia"/>
                <w:b w:val="0"/>
                <w:bCs w:val="0"/>
                <w:color w:val="auto"/>
                <w:lang w:val="en-US" w:eastAsia="zh-CN"/>
              </w:rPr>
              <w:t>4、每年提供讲解员培训不小于3次。</w:t>
            </w:r>
          </w:p>
          <w:p>
            <w:pPr>
              <w:numPr>
                <w:ilvl w:val="0"/>
                <w:numId w:val="0"/>
              </w:numPr>
              <w:spacing w:line="276" w:lineRule="auto"/>
              <w:rPr>
                <w:rFonts w:hint="eastAsia"/>
                <w:b w:val="0"/>
                <w:bCs w:val="0"/>
                <w:color w:val="auto"/>
                <w:lang w:val="en-US" w:eastAsia="zh-CN"/>
              </w:rPr>
            </w:pPr>
            <w:r>
              <w:rPr>
                <w:rFonts w:hint="eastAsia"/>
                <w:b w:val="0"/>
                <w:bCs w:val="0"/>
                <w:color w:val="auto"/>
                <w:lang w:val="en-US" w:eastAsia="zh-CN"/>
              </w:rPr>
              <w:t>5、每次活动结束后提供1份参加人数和名单给予备案；</w:t>
            </w:r>
          </w:p>
          <w:p>
            <w:pPr>
              <w:pStyle w:val="2"/>
              <w:rPr>
                <w:rFonts w:hint="eastAsia"/>
                <w:color w:val="auto"/>
                <w:lang w:val="en-US" w:eastAsia="zh-CN"/>
              </w:rPr>
            </w:pPr>
            <w:r>
              <w:rPr>
                <w:rFonts w:hint="eastAsia"/>
                <w:color w:val="auto"/>
                <w:lang w:val="en-US" w:eastAsia="zh-CN"/>
              </w:rPr>
              <w:t>6、讲解员及文职人员的筛选由双方一致协商同意后确定，讲解员及文职人员需提供近三个月内南宁市二级以上医疗机构入职体检合格报告。</w:t>
            </w:r>
          </w:p>
          <w:p>
            <w:pPr>
              <w:pStyle w:val="2"/>
              <w:rPr>
                <w:rFonts w:hint="eastAsia"/>
                <w:color w:val="auto"/>
                <w:lang w:val="en-US" w:eastAsia="zh-CN"/>
              </w:rPr>
            </w:pPr>
            <w:r>
              <w:rPr>
                <w:rFonts w:hint="eastAsia"/>
                <w:color w:val="auto"/>
                <w:lang w:val="en-US" w:eastAsia="zh-CN"/>
              </w:rPr>
              <w:t>7、讲解员及文职人员资质要求：讲解员要求大专及以上学历，普通话标准，性格开朗活泼、表达能力强、随机应变能力强、形象气质佳、品行端正、服从管理；文职人员要求大专及以上学历，熟练办公软件，普通话标准、具有良好的沟通协调能力，品行端正、服从管理。</w:t>
            </w:r>
          </w:p>
          <w:p>
            <w:pPr>
              <w:pStyle w:val="2"/>
              <w:rPr>
                <w:rFonts w:hint="default"/>
                <w:b w:val="0"/>
                <w:bCs w:val="0"/>
                <w:color w:val="auto"/>
                <w:lang w:val="en-US" w:eastAsia="zh-CN"/>
              </w:rPr>
            </w:pPr>
            <w:r>
              <w:rPr>
                <w:rFonts w:hint="eastAsia"/>
                <w:b w:val="0"/>
                <w:bCs w:val="0"/>
                <w:color w:val="auto"/>
                <w:lang w:val="en-US" w:eastAsia="zh-CN"/>
              </w:rPr>
              <w:t>8、乙方必须遵守南宁中心血站各项规章制度。爱护场馆内所有设施及物品，如有恶意毁坏或遗失，乙方在管理责任范围内照价赔偿。</w:t>
            </w:r>
          </w:p>
          <w:p>
            <w:pPr>
              <w:numPr>
                <w:ilvl w:val="0"/>
                <w:numId w:val="0"/>
              </w:numPr>
              <w:spacing w:line="276" w:lineRule="auto"/>
              <w:rPr>
                <w:rFonts w:hint="eastAsia"/>
                <w:b w:val="0"/>
                <w:bCs w:val="0"/>
                <w:color w:val="auto"/>
                <w:lang w:val="en-US" w:eastAsia="zh-CN"/>
              </w:rPr>
            </w:pPr>
            <w:r>
              <w:rPr>
                <w:rFonts w:hint="eastAsia"/>
                <w:b w:val="0"/>
                <w:bCs w:val="0"/>
                <w:color w:val="auto"/>
                <w:lang w:val="en-US" w:eastAsia="zh-CN"/>
              </w:rPr>
              <w:t>三、出现以下情况之一的，活动举办方有权终止合作协议：</w:t>
            </w:r>
          </w:p>
          <w:p>
            <w:pPr>
              <w:numPr>
                <w:ilvl w:val="0"/>
                <w:numId w:val="0"/>
              </w:numPr>
              <w:spacing w:line="276" w:lineRule="auto"/>
              <w:rPr>
                <w:rFonts w:hint="eastAsia"/>
                <w:b w:val="0"/>
                <w:bCs w:val="0"/>
                <w:color w:val="auto"/>
                <w:lang w:val="en-US" w:eastAsia="zh-CN"/>
              </w:rPr>
            </w:pPr>
            <w:r>
              <w:rPr>
                <w:rFonts w:hint="eastAsia"/>
                <w:b w:val="0"/>
                <w:bCs w:val="0"/>
                <w:color w:val="auto"/>
                <w:lang w:val="en-US" w:eastAsia="zh-CN"/>
              </w:rPr>
              <w:t>1、甲方根据日常沟通对接配合度、服务满意度及参观者投诉情况，对乙方进行综合评价，在尊重事实、平等沟通的基础上，甲方对乙方评价结果为不合格，如继续履行合同将损害甲方利益或造成不良影响的情形。</w:t>
            </w:r>
          </w:p>
          <w:p>
            <w:pPr>
              <w:numPr>
                <w:ilvl w:val="0"/>
                <w:numId w:val="0"/>
              </w:numPr>
              <w:spacing w:line="276" w:lineRule="auto"/>
              <w:rPr>
                <w:rFonts w:hint="eastAsia"/>
                <w:b w:val="0"/>
                <w:bCs w:val="0"/>
                <w:lang w:val="en-US" w:eastAsia="zh-CN"/>
              </w:rPr>
            </w:pPr>
            <w:r>
              <w:rPr>
                <w:rFonts w:hint="eastAsia"/>
                <w:b w:val="0"/>
                <w:bCs w:val="0"/>
                <w:lang w:val="en-US" w:eastAsia="zh-CN"/>
              </w:rPr>
              <w:t>2、活动中出现开具虚假发票的情况；</w:t>
            </w:r>
          </w:p>
          <w:p>
            <w:pPr>
              <w:numPr>
                <w:ilvl w:val="0"/>
                <w:numId w:val="0"/>
              </w:numPr>
              <w:spacing w:line="276" w:lineRule="auto"/>
              <w:rPr>
                <w:rFonts w:hint="eastAsia"/>
                <w:b w:val="0"/>
                <w:bCs w:val="0"/>
                <w:lang w:val="en-US" w:eastAsia="zh-CN"/>
              </w:rPr>
            </w:pPr>
            <w:r>
              <w:rPr>
                <w:rFonts w:hint="eastAsia"/>
                <w:b w:val="0"/>
                <w:bCs w:val="0"/>
                <w:lang w:val="en-US" w:eastAsia="zh-CN"/>
              </w:rPr>
              <w:t>3、活动中出现重大安全事故，造成人员重伤、残疾或死亡；</w:t>
            </w:r>
          </w:p>
          <w:p>
            <w:pPr>
              <w:rPr>
                <w:rFonts w:hAnsi="宋体"/>
                <w:szCs w:val="21"/>
              </w:rPr>
            </w:pPr>
            <w:r>
              <w:rPr>
                <w:rFonts w:hint="eastAsia"/>
                <w:b w:val="0"/>
                <w:bCs w:val="0"/>
                <w:lang w:val="en-US" w:eastAsia="zh-CN"/>
              </w:rPr>
              <w:t>4、活动过程违反国家相关规定法律法规。</w:t>
            </w:r>
          </w:p>
        </w:tc>
        <w:tc>
          <w:tcPr>
            <w:tcW w:w="1340" w:type="dxa"/>
            <w:vAlign w:val="center"/>
          </w:tcPr>
          <w:p>
            <w:pPr>
              <w:rPr>
                <w:rFonts w:hAnsi="宋体"/>
                <w:szCs w:val="21"/>
              </w:rPr>
            </w:pPr>
            <w:r>
              <w:rPr>
                <w:rFonts w:hint="eastAsia" w:hAnsi="宋体"/>
                <w:szCs w:val="21"/>
              </w:rPr>
              <w:t>南宁中心血站血液智慧科普馆运营外包服务</w:t>
            </w:r>
          </w:p>
        </w:tc>
        <w:tc>
          <w:tcPr>
            <w:tcW w:w="2765" w:type="dxa"/>
            <w:vAlign w:val="center"/>
          </w:tcPr>
          <w:p>
            <w:pPr>
              <w:rPr>
                <w:rFonts w:hAnsi="宋体"/>
                <w:szCs w:val="21"/>
              </w:rPr>
            </w:pPr>
            <w:r>
              <w:rPr>
                <w:rFonts w:hint="eastAsia" w:asciiTheme="minorEastAsia" w:hAnsiTheme="minorEastAsia" w:cstheme="minorEastAsia"/>
                <w:color w:val="FF0000"/>
                <w:szCs w:val="21"/>
                <w:vertAlign w:val="baseline"/>
                <w:lang w:eastAsia="zh-CN"/>
              </w:rPr>
              <w:t>请填入贵单位响应的服务内容。</w:t>
            </w:r>
          </w:p>
        </w:tc>
        <w:tc>
          <w:tcPr>
            <w:tcW w:w="1417" w:type="dxa"/>
            <w:vAlign w:val="center"/>
          </w:tcPr>
          <w:p>
            <w:pPr>
              <w:rPr>
                <w:rFonts w:ascii="宋体" w:hAnsi="宋体"/>
                <w:szCs w:val="21"/>
              </w:rPr>
            </w:pPr>
            <w:r>
              <w:rPr>
                <w:rFonts w:ascii="宋体" w:hAnsi="宋体"/>
                <w:szCs w:val="21"/>
              </w:rPr>
              <w:t>正偏离（负偏离或无偏离）</w:t>
            </w:r>
          </w:p>
        </w:tc>
      </w:tr>
    </w:tbl>
    <w:p>
      <w:pPr>
        <w:pStyle w:val="4"/>
        <w:rPr>
          <w:rFonts w:hAnsi="宋体"/>
          <w:szCs w:val="21"/>
        </w:rPr>
      </w:pPr>
    </w:p>
    <w:p>
      <w:pPr>
        <w:pStyle w:val="4"/>
        <w:rPr>
          <w:rFonts w:hAnsi="宋体"/>
          <w:szCs w:val="21"/>
        </w:rPr>
      </w:pPr>
      <w:r>
        <w:rPr>
          <w:rFonts w:hint="eastAsia" w:hAnsi="宋体"/>
          <w:szCs w:val="21"/>
          <w:u w:val="single"/>
        </w:rPr>
        <w:t>　　</w:t>
      </w:r>
      <w:r>
        <w:rPr>
          <w:rFonts w:hint="eastAsia" w:hAnsi="宋体"/>
          <w:szCs w:val="21"/>
        </w:rPr>
        <w:t>分项（有分项时填写）</w:t>
      </w:r>
    </w:p>
    <w:p>
      <w:pPr>
        <w:pStyle w:val="4"/>
        <w:rPr>
          <w:rFonts w:hAnsi="宋体"/>
          <w:szCs w:val="21"/>
        </w:rPr>
      </w:pPr>
      <w:r>
        <w:rPr>
          <w:rFonts w:hAnsi="宋体"/>
          <w:szCs w:val="21"/>
        </w:rPr>
        <w:t>......</w:t>
      </w:r>
    </w:p>
    <w:p>
      <w:pPr>
        <w:pStyle w:val="4"/>
        <w:rPr>
          <w:rFonts w:hAnsi="宋体"/>
          <w:szCs w:val="21"/>
        </w:rPr>
      </w:pPr>
    </w:p>
    <w:p>
      <w:pPr>
        <w:pStyle w:val="4"/>
        <w:spacing w:line="400" w:lineRule="exact"/>
        <w:rPr>
          <w:rFonts w:hAnsi="宋体"/>
          <w:szCs w:val="21"/>
        </w:rPr>
      </w:pPr>
      <w:r>
        <w:rPr>
          <w:rFonts w:hAnsi="宋体"/>
          <w:szCs w:val="21"/>
        </w:rPr>
        <w:t>注：⑴表格内容均需按要求填写并盖章，不得留空，</w:t>
      </w:r>
      <w:r>
        <w:rPr>
          <w:rFonts w:hAnsi="宋体"/>
          <w:bCs/>
          <w:szCs w:val="21"/>
        </w:rPr>
        <w:t>否则按无效</w:t>
      </w:r>
      <w:r>
        <w:rPr>
          <w:rFonts w:hint="eastAsia" w:hAnsi="宋体"/>
          <w:bCs/>
          <w:szCs w:val="21"/>
        </w:rPr>
        <w:t>响应</w:t>
      </w:r>
      <w:r>
        <w:rPr>
          <w:rFonts w:hAnsi="宋体"/>
          <w:bCs/>
          <w:szCs w:val="21"/>
        </w:rPr>
        <w:t>处理</w:t>
      </w:r>
      <w:r>
        <w:rPr>
          <w:rFonts w:hAnsi="宋体"/>
          <w:szCs w:val="21"/>
        </w:rPr>
        <w:t>。</w:t>
      </w:r>
    </w:p>
    <w:p>
      <w:pPr>
        <w:pStyle w:val="4"/>
        <w:spacing w:line="400" w:lineRule="exact"/>
        <w:ind w:left="689" w:leftChars="228" w:hanging="210" w:hangingChars="100"/>
        <w:rPr>
          <w:rFonts w:hAnsi="宋体"/>
          <w:sz w:val="24"/>
          <w:szCs w:val="24"/>
        </w:rPr>
      </w:pPr>
      <w:r>
        <w:rPr>
          <w:rFonts w:hAnsi="宋体"/>
          <w:bCs/>
          <w:szCs w:val="21"/>
        </w:rPr>
        <w:t>⑵当</w:t>
      </w:r>
      <w:r>
        <w:rPr>
          <w:rFonts w:hint="eastAsia" w:hAnsi="宋体"/>
          <w:bCs/>
          <w:szCs w:val="21"/>
        </w:rPr>
        <w:t>响应</w:t>
      </w:r>
      <w:r>
        <w:rPr>
          <w:rFonts w:hAnsi="宋体"/>
          <w:bCs/>
          <w:szCs w:val="21"/>
        </w:rPr>
        <w:t>文件的服务内容低于</w:t>
      </w:r>
      <w:r>
        <w:rPr>
          <w:rFonts w:hint="eastAsia" w:hAnsi="宋体"/>
          <w:bCs/>
          <w:szCs w:val="21"/>
          <w:lang w:eastAsia="zh-CN"/>
        </w:rPr>
        <w:t>附件</w:t>
      </w:r>
      <w:r>
        <w:rPr>
          <w:rFonts w:hint="eastAsia" w:hAnsi="宋体"/>
          <w:bCs/>
          <w:szCs w:val="21"/>
          <w:lang w:val="en-US" w:eastAsia="zh-CN"/>
        </w:rPr>
        <w:t>1</w:t>
      </w:r>
      <w:r>
        <w:rPr>
          <w:rFonts w:hint="eastAsia" w:asciiTheme="minorEastAsia" w:hAnsiTheme="minorEastAsia"/>
          <w:szCs w:val="21"/>
        </w:rPr>
        <w:t>服务需求一览表”</w:t>
      </w:r>
      <w:r>
        <w:rPr>
          <w:rFonts w:hAnsi="宋体"/>
          <w:bCs/>
          <w:szCs w:val="21"/>
        </w:rPr>
        <w:t>要求时，</w:t>
      </w:r>
      <w:r>
        <w:rPr>
          <w:rFonts w:hint="eastAsia" w:hAnsi="宋体"/>
          <w:bCs/>
          <w:szCs w:val="21"/>
        </w:rPr>
        <w:t>供应商</w:t>
      </w:r>
      <w:r>
        <w:rPr>
          <w:rFonts w:hAnsi="宋体"/>
          <w:bCs/>
          <w:szCs w:val="21"/>
        </w:rPr>
        <w:t>应当如实写明“负偏离”，否则视为虚假应标。</w:t>
      </w:r>
    </w:p>
    <w:p>
      <w:pPr>
        <w:pStyle w:val="4"/>
        <w:spacing w:line="400" w:lineRule="exact"/>
        <w:rPr>
          <w:rFonts w:hint="eastAsia" w:hAnsi="宋体"/>
          <w:szCs w:val="21"/>
        </w:rPr>
      </w:pPr>
      <w:r>
        <w:rPr>
          <w:rFonts w:hint="eastAsia" w:hAnsi="宋体"/>
          <w:szCs w:val="21"/>
          <w:lang w:eastAsia="zh-CN"/>
        </w:rPr>
        <w:t>竞标人</w:t>
      </w:r>
      <w:r>
        <w:rPr>
          <w:rFonts w:hint="eastAsia" w:hAnsi="宋体"/>
          <w:szCs w:val="21"/>
        </w:rPr>
        <w:t>（盖单位公章）：</w:t>
      </w:r>
    </w:p>
    <w:p>
      <w:pPr>
        <w:pStyle w:val="3"/>
        <w:numPr>
          <w:ilvl w:val="3"/>
          <w:numId w:val="0"/>
        </w:numPr>
        <w:ind w:left="1077" w:leftChars="0"/>
      </w:pPr>
    </w:p>
    <w:p>
      <w:pPr>
        <w:pStyle w:val="4"/>
        <w:spacing w:line="400" w:lineRule="exact"/>
        <w:rPr>
          <w:rFonts w:hint="eastAsia" w:hAnsi="宋体"/>
          <w:szCs w:val="21"/>
        </w:rPr>
      </w:pPr>
      <w:bookmarkStart w:id="0" w:name="_Toc460253713"/>
      <w:bookmarkStart w:id="1" w:name="_Toc521096352"/>
      <w:r>
        <w:rPr>
          <w:rFonts w:hint="eastAsia" w:hAnsi="宋体"/>
          <w:szCs w:val="21"/>
        </w:rPr>
        <w:t>法定代表人或其委托代理人（签字或盖章）：</w:t>
      </w:r>
      <w:bookmarkEnd w:id="0"/>
      <w:bookmarkEnd w:id="1"/>
    </w:p>
    <w:p>
      <w:pPr>
        <w:pStyle w:val="4"/>
        <w:spacing w:line="400" w:lineRule="exact"/>
        <w:rPr>
          <w:rFonts w:hint="eastAsia" w:hAnsi="宋体"/>
          <w:szCs w:val="21"/>
        </w:rPr>
      </w:pPr>
    </w:p>
    <w:p>
      <w:pPr>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4"/>
        <w:jc w:val="left"/>
        <w:rPr>
          <w:rFonts w:hint="default" w:eastAsiaTheme="minorEastAsia"/>
          <w:b/>
          <w:sz w:val="32"/>
          <w:lang w:val="en-US" w:eastAsia="zh-CN"/>
        </w:rPr>
      </w:pPr>
      <w:r>
        <w:rPr>
          <w:rFonts w:hint="eastAsia"/>
          <w:b/>
          <w:sz w:val="32"/>
          <w:lang w:eastAsia="zh-CN"/>
        </w:rPr>
        <w:t>附件</w:t>
      </w:r>
      <w:r>
        <w:rPr>
          <w:rFonts w:hint="eastAsia"/>
          <w:b/>
          <w:sz w:val="32"/>
          <w:lang w:val="en-US" w:eastAsia="zh-CN"/>
        </w:rPr>
        <w:t>3</w:t>
      </w:r>
    </w:p>
    <w:p>
      <w:pPr>
        <w:pStyle w:val="4"/>
        <w:jc w:val="center"/>
        <w:rPr>
          <w:rFonts w:hint="eastAsia"/>
          <w:b/>
          <w:sz w:val="24"/>
          <w:u w:val="none"/>
        </w:rPr>
      </w:pPr>
      <w:r>
        <w:rPr>
          <w:rFonts w:hint="eastAsia"/>
          <w:b/>
          <w:sz w:val="32"/>
        </w:rPr>
        <w:t>投标报价表</w:t>
      </w:r>
    </w:p>
    <w:p>
      <w:pPr>
        <w:pStyle w:val="4"/>
        <w:rPr>
          <w:rFonts w:hint="eastAsia"/>
          <w:b/>
          <w:sz w:val="24"/>
          <w:u w:val="none"/>
        </w:rPr>
      </w:pPr>
    </w:p>
    <w:p>
      <w:pPr>
        <w:adjustRightInd w:val="0"/>
        <w:spacing w:line="400" w:lineRule="exact"/>
        <w:ind w:firstLine="435"/>
        <w:rPr>
          <w:rFonts w:hint="eastAsia"/>
          <w:b/>
          <w:sz w:val="24"/>
          <w:u w:val="none"/>
        </w:rPr>
      </w:pPr>
      <w:r>
        <w:rPr>
          <w:rFonts w:hint="eastAsia"/>
          <w:b/>
          <w:sz w:val="24"/>
          <w:u w:val="none"/>
        </w:rPr>
        <w:t>我公司</w:t>
      </w:r>
      <w:r>
        <w:rPr>
          <w:b/>
          <w:sz w:val="24"/>
          <w:u w:val="none"/>
        </w:rPr>
        <w:t>已</w:t>
      </w:r>
      <w:r>
        <w:rPr>
          <w:rFonts w:hint="eastAsia"/>
          <w:b/>
          <w:sz w:val="24"/>
          <w:u w:val="none"/>
        </w:rPr>
        <w:t>认真</w:t>
      </w:r>
      <w:r>
        <w:rPr>
          <w:b/>
          <w:sz w:val="24"/>
          <w:u w:val="none"/>
        </w:rPr>
        <w:t>阅读了</w:t>
      </w:r>
      <w:r>
        <w:rPr>
          <w:rFonts w:hint="eastAsia"/>
          <w:b/>
          <w:sz w:val="24"/>
          <w:u w:val="none"/>
        </w:rPr>
        <w:t>南宁中心血站血液智慧科普馆运营外包服务</w:t>
      </w:r>
      <w:r>
        <w:rPr>
          <w:rFonts w:hint="eastAsia"/>
          <w:b/>
          <w:sz w:val="24"/>
          <w:u w:val="none"/>
          <w:lang w:eastAsia="zh-CN"/>
        </w:rPr>
        <w:t>采购公告</w:t>
      </w:r>
      <w:r>
        <w:rPr>
          <w:b/>
          <w:sz w:val="24"/>
          <w:u w:val="none"/>
        </w:rPr>
        <w:t>，</w:t>
      </w:r>
      <w:r>
        <w:rPr>
          <w:rFonts w:hint="eastAsia"/>
          <w:b/>
          <w:sz w:val="24"/>
          <w:u w:val="none"/>
        </w:rPr>
        <w:t>我方完全理解并</w:t>
      </w:r>
      <w:r>
        <w:rPr>
          <w:b/>
          <w:sz w:val="24"/>
          <w:u w:val="none"/>
        </w:rPr>
        <w:t>接受</w:t>
      </w:r>
      <w:r>
        <w:rPr>
          <w:rFonts w:hint="eastAsia"/>
          <w:b/>
          <w:sz w:val="24"/>
          <w:u w:val="none"/>
        </w:rPr>
        <w:t>贵方本次采购内容和要求，</w:t>
      </w:r>
      <w:r>
        <w:rPr>
          <w:rFonts w:hint="eastAsia"/>
          <w:b/>
          <w:sz w:val="24"/>
          <w:u w:val="none"/>
          <w:lang w:eastAsia="zh-CN"/>
        </w:rPr>
        <w:t>在满足采购人商务条款的需求下，</w:t>
      </w:r>
      <w:r>
        <w:rPr>
          <w:rFonts w:hint="eastAsia"/>
          <w:b/>
          <w:sz w:val="24"/>
          <w:u w:val="none"/>
        </w:rPr>
        <w:t>参与该项目</w:t>
      </w:r>
      <w:r>
        <w:rPr>
          <w:b/>
          <w:sz w:val="24"/>
          <w:u w:val="none"/>
        </w:rPr>
        <w:t>报价</w:t>
      </w:r>
      <w:r>
        <w:rPr>
          <w:rFonts w:hint="eastAsia"/>
          <w:b/>
          <w:sz w:val="24"/>
          <w:u w:val="none"/>
        </w:rPr>
        <w:t>。</w:t>
      </w:r>
    </w:p>
    <w:tbl>
      <w:tblPr>
        <w:tblStyle w:val="8"/>
        <w:tblW w:w="99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1200"/>
        <w:gridCol w:w="2970"/>
        <w:gridCol w:w="1005"/>
        <w:gridCol w:w="1365"/>
        <w:gridCol w:w="1785"/>
        <w:gridCol w:w="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753" w:type="dxa"/>
            <w:vAlign w:val="center"/>
          </w:tcPr>
          <w:p>
            <w:pPr>
              <w:pStyle w:val="4"/>
              <w:jc w:val="center"/>
              <w:rPr>
                <w:rFonts w:hint="eastAsia" w:asciiTheme="minorEastAsia" w:hAnsiTheme="minorEastAsia" w:eastAsiaTheme="minorEastAsia" w:cstheme="minorEastAsia"/>
                <w:szCs w:val="21"/>
                <w:vertAlign w:val="baseline"/>
                <w:lang w:eastAsia="zh-CN"/>
              </w:rPr>
            </w:pPr>
            <w:r>
              <w:rPr>
                <w:rFonts w:hint="eastAsia" w:asciiTheme="minorEastAsia" w:hAnsiTheme="minorEastAsia" w:cstheme="minorEastAsia"/>
                <w:szCs w:val="21"/>
                <w:vertAlign w:val="baseline"/>
                <w:lang w:eastAsia="zh-CN"/>
              </w:rPr>
              <w:t>项号</w:t>
            </w:r>
          </w:p>
        </w:tc>
        <w:tc>
          <w:tcPr>
            <w:tcW w:w="1200" w:type="dxa"/>
            <w:vAlign w:val="center"/>
          </w:tcPr>
          <w:p>
            <w:pPr>
              <w:pStyle w:val="4"/>
              <w:jc w:val="center"/>
              <w:rPr>
                <w:rFonts w:hint="eastAsia" w:asciiTheme="minorEastAsia" w:hAnsiTheme="minorEastAsia" w:eastAsiaTheme="minorEastAsia" w:cstheme="minorEastAsia"/>
                <w:szCs w:val="21"/>
                <w:vertAlign w:val="baseline"/>
                <w:lang w:eastAsia="zh-CN"/>
              </w:rPr>
            </w:pPr>
            <w:r>
              <w:rPr>
                <w:rFonts w:hint="eastAsia" w:asciiTheme="minorEastAsia" w:hAnsiTheme="minorEastAsia" w:cstheme="minorEastAsia"/>
                <w:szCs w:val="21"/>
                <w:vertAlign w:val="baseline"/>
                <w:lang w:eastAsia="zh-CN"/>
              </w:rPr>
              <w:t>服务名称</w:t>
            </w:r>
          </w:p>
        </w:tc>
        <w:tc>
          <w:tcPr>
            <w:tcW w:w="2970" w:type="dxa"/>
            <w:vAlign w:val="center"/>
          </w:tcPr>
          <w:p>
            <w:pPr>
              <w:pStyle w:val="4"/>
              <w:jc w:val="center"/>
              <w:rPr>
                <w:rFonts w:hint="eastAsia" w:asciiTheme="minorEastAsia" w:hAnsiTheme="minorEastAsia" w:eastAsiaTheme="minorEastAsia" w:cstheme="minorEastAsia"/>
                <w:szCs w:val="21"/>
                <w:vertAlign w:val="baseline"/>
                <w:lang w:eastAsia="zh-CN"/>
              </w:rPr>
            </w:pPr>
            <w:r>
              <w:rPr>
                <w:rFonts w:hint="eastAsia" w:asciiTheme="minorEastAsia" w:hAnsiTheme="minorEastAsia" w:cstheme="minorEastAsia"/>
                <w:szCs w:val="21"/>
                <w:vertAlign w:val="baseline"/>
                <w:lang w:eastAsia="zh-CN"/>
              </w:rPr>
              <w:t>服务内容</w:t>
            </w:r>
          </w:p>
        </w:tc>
        <w:tc>
          <w:tcPr>
            <w:tcW w:w="1005" w:type="dxa"/>
            <w:vAlign w:val="center"/>
          </w:tcPr>
          <w:p>
            <w:pPr>
              <w:pStyle w:val="4"/>
              <w:jc w:val="center"/>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数量</w:t>
            </w:r>
          </w:p>
          <w:p>
            <w:pPr>
              <w:pStyle w:val="4"/>
              <w:jc w:val="center"/>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①</w:t>
            </w:r>
          </w:p>
        </w:tc>
        <w:tc>
          <w:tcPr>
            <w:tcW w:w="1365" w:type="dxa"/>
            <w:vAlign w:val="center"/>
          </w:tcPr>
          <w:p>
            <w:pPr>
              <w:pStyle w:val="4"/>
              <w:jc w:val="center"/>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单价（元）</w:t>
            </w:r>
          </w:p>
          <w:p>
            <w:pPr>
              <w:pStyle w:val="4"/>
              <w:jc w:val="center"/>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②</w:t>
            </w:r>
          </w:p>
        </w:tc>
        <w:tc>
          <w:tcPr>
            <w:tcW w:w="1785" w:type="dxa"/>
            <w:vAlign w:val="center"/>
          </w:tcPr>
          <w:p>
            <w:pPr>
              <w:pStyle w:val="4"/>
              <w:jc w:val="center"/>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单项合价（元）</w:t>
            </w:r>
          </w:p>
          <w:p>
            <w:pPr>
              <w:pStyle w:val="4"/>
              <w:jc w:val="center"/>
              <w:rPr>
                <w:rFonts w:hint="default" w:asciiTheme="minorEastAsia" w:hAnsiTheme="minorEastAsia" w:cstheme="minorEastAsia"/>
                <w:szCs w:val="21"/>
                <w:vertAlign w:val="baseline"/>
                <w:lang w:val="en-US" w:eastAsia="zh-CN"/>
              </w:rPr>
            </w:pPr>
            <w:r>
              <w:rPr>
                <w:rFonts w:hint="eastAsia" w:asciiTheme="minorEastAsia" w:hAnsiTheme="minorEastAsia" w:cstheme="minorEastAsia"/>
                <w:szCs w:val="21"/>
                <w:vertAlign w:val="baseline"/>
                <w:lang w:eastAsia="zh-CN"/>
              </w:rPr>
              <w:t>③</w:t>
            </w:r>
            <w:r>
              <w:rPr>
                <w:rFonts w:hint="eastAsia" w:asciiTheme="minorEastAsia" w:hAnsiTheme="minorEastAsia" w:cstheme="minorEastAsia"/>
                <w:szCs w:val="21"/>
                <w:vertAlign w:val="baseline"/>
                <w:lang w:val="en-US" w:eastAsia="zh-CN"/>
              </w:rPr>
              <w:t>=①×②</w:t>
            </w:r>
          </w:p>
        </w:tc>
        <w:tc>
          <w:tcPr>
            <w:tcW w:w="855" w:type="dxa"/>
            <w:vAlign w:val="center"/>
          </w:tcPr>
          <w:p>
            <w:pPr>
              <w:pStyle w:val="4"/>
              <w:jc w:val="center"/>
              <w:rPr>
                <w:rFonts w:hint="eastAsia" w:asciiTheme="minorEastAsia" w:hAnsiTheme="minorEastAsia" w:eastAsiaTheme="minorEastAsia" w:cstheme="minorEastAsia"/>
                <w:szCs w:val="21"/>
                <w:vertAlign w:val="baseline"/>
                <w:lang w:eastAsia="zh-CN"/>
              </w:rPr>
            </w:pPr>
            <w:r>
              <w:rPr>
                <w:rFonts w:hint="eastAsia" w:asciiTheme="minorEastAsia" w:hAnsiTheme="minorEastAsia" w:cstheme="minorEastAsia"/>
                <w:szCs w:val="21"/>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Style w:val="4"/>
              <w:rPr>
                <w:rFonts w:hint="eastAsia" w:asciiTheme="minorEastAsia" w:hAnsiTheme="minorEastAsia" w:cstheme="minorEastAsia"/>
                <w:szCs w:val="21"/>
                <w:vertAlign w:val="baseline"/>
                <w:lang w:val="en-US" w:eastAsia="zh-CN"/>
              </w:rPr>
            </w:pPr>
          </w:p>
          <w:p>
            <w:pPr>
              <w:pStyle w:val="4"/>
              <w:rPr>
                <w:rFonts w:hint="eastAsia" w:asciiTheme="minorEastAsia" w:hAnsiTheme="minorEastAsia" w:cstheme="minorEastAsia"/>
                <w:szCs w:val="21"/>
                <w:vertAlign w:val="baseline"/>
                <w:lang w:val="en-US" w:eastAsia="zh-CN"/>
              </w:rPr>
            </w:pPr>
          </w:p>
          <w:p>
            <w:pPr>
              <w:pStyle w:val="4"/>
              <w:rPr>
                <w:rFonts w:hint="eastAsia" w:asciiTheme="minorEastAsia" w:hAnsiTheme="minorEastAsia" w:cstheme="minorEastAsia"/>
                <w:szCs w:val="21"/>
                <w:vertAlign w:val="baseline"/>
                <w:lang w:val="en-US" w:eastAsia="zh-CN"/>
              </w:rPr>
            </w:pPr>
          </w:p>
          <w:p>
            <w:pPr>
              <w:pStyle w:val="4"/>
              <w:rPr>
                <w:rFonts w:hint="eastAsia" w:asciiTheme="minorEastAsia" w:hAnsiTheme="minorEastAsia" w:cstheme="minorEastAsia"/>
                <w:szCs w:val="21"/>
                <w:vertAlign w:val="baseline"/>
                <w:lang w:val="en-US" w:eastAsia="zh-CN"/>
              </w:rPr>
            </w:pPr>
          </w:p>
          <w:p>
            <w:pPr>
              <w:pStyle w:val="4"/>
              <w:rPr>
                <w:rFonts w:hint="eastAsia" w:asciiTheme="minorEastAsia" w:hAnsiTheme="minorEastAsia" w:cstheme="minorEastAsia"/>
                <w:szCs w:val="21"/>
                <w:vertAlign w:val="baseline"/>
                <w:lang w:val="en-US" w:eastAsia="zh-CN"/>
              </w:rPr>
            </w:pPr>
          </w:p>
          <w:p>
            <w:pPr>
              <w:pStyle w:val="4"/>
              <w:rPr>
                <w:rFonts w:hint="eastAsia" w:asciiTheme="minorEastAsia" w:hAnsiTheme="minorEastAsia" w:cstheme="minorEastAsia"/>
                <w:szCs w:val="21"/>
                <w:vertAlign w:val="baseline"/>
                <w:lang w:val="en-US" w:eastAsia="zh-CN"/>
              </w:rPr>
            </w:pPr>
          </w:p>
          <w:p>
            <w:pPr>
              <w:pStyle w:val="4"/>
              <w:rPr>
                <w:rFonts w:hint="eastAsia" w:asciiTheme="minorEastAsia" w:hAnsiTheme="minorEastAsia" w:cstheme="minorEastAsia"/>
                <w:szCs w:val="21"/>
                <w:vertAlign w:val="baseline"/>
                <w:lang w:val="en-US" w:eastAsia="zh-CN"/>
              </w:rPr>
            </w:pPr>
          </w:p>
          <w:p>
            <w:pPr>
              <w:pStyle w:val="4"/>
              <w:ind w:firstLine="210" w:firstLineChars="100"/>
              <w:rPr>
                <w:rFonts w:hint="eastAsia" w:asciiTheme="minorEastAsia" w:hAnsiTheme="minorEastAsia" w:cstheme="minorEastAsia"/>
                <w:szCs w:val="21"/>
                <w:vertAlign w:val="baseline"/>
                <w:lang w:val="en-US" w:eastAsia="zh-CN"/>
              </w:rPr>
            </w:pPr>
          </w:p>
          <w:p>
            <w:pPr>
              <w:pStyle w:val="4"/>
              <w:ind w:firstLine="210" w:firstLineChars="100"/>
              <w:rPr>
                <w:rFonts w:hint="eastAsia" w:asciiTheme="minorEastAsia" w:hAnsiTheme="minorEastAsia" w:cstheme="minorEastAsia"/>
                <w:szCs w:val="21"/>
                <w:vertAlign w:val="baseline"/>
                <w:lang w:val="en-US" w:eastAsia="zh-CN"/>
              </w:rPr>
            </w:pPr>
          </w:p>
          <w:p>
            <w:pPr>
              <w:pStyle w:val="4"/>
              <w:ind w:firstLine="210" w:firstLineChars="100"/>
              <w:rPr>
                <w:rFonts w:hint="eastAsia" w:asciiTheme="minorEastAsia" w:hAnsiTheme="minorEastAsia" w:cstheme="minorEastAsia"/>
                <w:szCs w:val="21"/>
                <w:vertAlign w:val="baseline"/>
                <w:lang w:val="en-US" w:eastAsia="zh-CN"/>
              </w:rPr>
            </w:pPr>
          </w:p>
          <w:p>
            <w:pPr>
              <w:pStyle w:val="4"/>
              <w:ind w:firstLine="210" w:firstLineChars="100"/>
              <w:rPr>
                <w:rFonts w:hint="eastAsia" w:asciiTheme="minorEastAsia" w:hAnsiTheme="minorEastAsia" w:cstheme="minorEastAsia"/>
                <w:szCs w:val="21"/>
                <w:vertAlign w:val="baseline"/>
                <w:lang w:val="en-US" w:eastAsia="zh-CN"/>
              </w:rPr>
            </w:pPr>
          </w:p>
          <w:p>
            <w:pPr>
              <w:pStyle w:val="4"/>
              <w:ind w:firstLine="210" w:firstLineChars="100"/>
              <w:rPr>
                <w:rFonts w:hint="eastAsia" w:asciiTheme="minorEastAsia" w:hAnsiTheme="minorEastAsia" w:eastAsiaTheme="minorEastAsia" w:cstheme="minorEastAsia"/>
                <w:szCs w:val="21"/>
                <w:vertAlign w:val="baseline"/>
                <w:lang w:val="en-US" w:eastAsia="zh-CN"/>
              </w:rPr>
            </w:pPr>
            <w:r>
              <w:rPr>
                <w:rFonts w:hint="eastAsia" w:asciiTheme="minorEastAsia" w:hAnsiTheme="minorEastAsia" w:cstheme="minorEastAsia"/>
                <w:szCs w:val="21"/>
                <w:vertAlign w:val="baseline"/>
                <w:lang w:val="en-US" w:eastAsia="zh-CN"/>
              </w:rPr>
              <w:t>1</w:t>
            </w:r>
          </w:p>
        </w:tc>
        <w:tc>
          <w:tcPr>
            <w:tcW w:w="1200" w:type="dxa"/>
          </w:tcPr>
          <w:p>
            <w:pPr>
              <w:pStyle w:val="4"/>
              <w:rPr>
                <w:rFonts w:hint="eastAsia" w:asciiTheme="minorEastAsia" w:hAnsiTheme="minorEastAsia" w:eastAsiaTheme="minorEastAsia" w:cstheme="minorEastAsia"/>
                <w:szCs w:val="21"/>
                <w:vertAlign w:val="baseline"/>
              </w:rPr>
            </w:pPr>
          </w:p>
          <w:p>
            <w:pPr>
              <w:pStyle w:val="4"/>
              <w:rPr>
                <w:rFonts w:hint="eastAsia" w:asciiTheme="minorEastAsia" w:hAnsiTheme="minorEastAsia" w:eastAsiaTheme="minorEastAsia" w:cstheme="minorEastAsia"/>
                <w:szCs w:val="21"/>
                <w:vertAlign w:val="baseline"/>
              </w:rPr>
            </w:pPr>
          </w:p>
          <w:p>
            <w:pPr>
              <w:pStyle w:val="4"/>
              <w:rPr>
                <w:rFonts w:hint="eastAsia" w:asciiTheme="minorEastAsia" w:hAnsiTheme="minorEastAsia" w:eastAsiaTheme="minorEastAsia" w:cstheme="minorEastAsia"/>
                <w:szCs w:val="21"/>
                <w:vertAlign w:val="baseline"/>
              </w:rPr>
            </w:pPr>
          </w:p>
          <w:p>
            <w:pPr>
              <w:pStyle w:val="4"/>
              <w:rPr>
                <w:rFonts w:hint="eastAsia" w:asciiTheme="minorEastAsia" w:hAnsiTheme="minorEastAsia" w:eastAsiaTheme="minorEastAsia" w:cstheme="minorEastAsia"/>
                <w:szCs w:val="21"/>
                <w:vertAlign w:val="baseline"/>
              </w:rPr>
            </w:pPr>
          </w:p>
          <w:p>
            <w:pPr>
              <w:pStyle w:val="4"/>
              <w:rPr>
                <w:rFonts w:hint="eastAsia" w:asciiTheme="minorEastAsia" w:hAnsiTheme="minorEastAsia" w:eastAsiaTheme="minorEastAsia" w:cstheme="minorEastAsia"/>
                <w:szCs w:val="21"/>
                <w:vertAlign w:val="baseline"/>
              </w:rPr>
            </w:pPr>
          </w:p>
          <w:p>
            <w:pPr>
              <w:pStyle w:val="4"/>
              <w:rPr>
                <w:rFonts w:hint="eastAsia"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r>
              <w:rPr>
                <w:rFonts w:hint="eastAsia" w:asciiTheme="minorEastAsia" w:hAnsiTheme="minorEastAsia" w:eastAsiaTheme="minorEastAsia" w:cstheme="minorEastAsia"/>
                <w:szCs w:val="21"/>
                <w:vertAlign w:val="baseline"/>
              </w:rPr>
              <w:t>南宁中心血站血液智慧科普馆运营外包服务</w:t>
            </w:r>
          </w:p>
        </w:tc>
        <w:tc>
          <w:tcPr>
            <w:tcW w:w="2970" w:type="dxa"/>
            <w:vAlign w:val="center"/>
          </w:tcPr>
          <w:p>
            <w:pPr>
              <w:numPr>
                <w:ilvl w:val="0"/>
                <w:numId w:val="0"/>
              </w:numPr>
              <w:spacing w:line="276" w:lineRule="auto"/>
              <w:jc w:val="center"/>
              <w:rPr>
                <w:rFonts w:hint="eastAsia" w:asciiTheme="minorEastAsia" w:hAnsiTheme="minorEastAsia" w:eastAsiaTheme="minorEastAsia" w:cstheme="minorEastAsia"/>
                <w:szCs w:val="21"/>
                <w:vertAlign w:val="baseline"/>
                <w:lang w:eastAsia="zh-CN"/>
              </w:rPr>
            </w:pPr>
            <w:r>
              <w:rPr>
                <w:rFonts w:hint="eastAsia" w:asciiTheme="minorEastAsia" w:hAnsiTheme="minorEastAsia" w:cstheme="minorEastAsia"/>
                <w:color w:val="FF0000"/>
                <w:szCs w:val="21"/>
                <w:vertAlign w:val="baseline"/>
                <w:lang w:eastAsia="zh-CN"/>
              </w:rPr>
              <w:t>请填入贵单位响应的服务内容。</w:t>
            </w:r>
          </w:p>
        </w:tc>
        <w:tc>
          <w:tcPr>
            <w:tcW w:w="1005" w:type="dxa"/>
          </w:tcPr>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ind w:firstLine="210" w:firstLineChars="100"/>
              <w:rPr>
                <w:rFonts w:hint="eastAsia" w:asciiTheme="minorEastAsia" w:hAnsiTheme="minorEastAsia" w:cstheme="minorEastAsia"/>
                <w:szCs w:val="21"/>
                <w:vertAlign w:val="baseline"/>
                <w:lang w:val="en-US" w:eastAsia="zh-CN"/>
              </w:rPr>
            </w:pPr>
          </w:p>
          <w:p>
            <w:pPr>
              <w:pStyle w:val="4"/>
              <w:ind w:firstLine="210" w:firstLineChars="100"/>
              <w:rPr>
                <w:rFonts w:hint="eastAsia" w:asciiTheme="minorEastAsia" w:hAnsiTheme="minorEastAsia" w:cstheme="minorEastAsia"/>
                <w:szCs w:val="21"/>
                <w:vertAlign w:val="baseline"/>
                <w:lang w:val="en-US" w:eastAsia="zh-CN"/>
              </w:rPr>
            </w:pPr>
          </w:p>
          <w:p>
            <w:pPr>
              <w:pStyle w:val="4"/>
              <w:ind w:firstLine="210" w:firstLineChars="100"/>
              <w:rPr>
                <w:rFonts w:hint="eastAsia" w:asciiTheme="minorEastAsia" w:hAnsiTheme="minorEastAsia" w:cstheme="minorEastAsia"/>
                <w:szCs w:val="21"/>
                <w:vertAlign w:val="baseline"/>
                <w:lang w:val="en-US" w:eastAsia="zh-CN"/>
              </w:rPr>
            </w:pPr>
          </w:p>
          <w:p>
            <w:pPr>
              <w:pStyle w:val="4"/>
              <w:ind w:firstLine="210" w:firstLineChars="100"/>
              <w:rPr>
                <w:rFonts w:hint="eastAsia" w:asciiTheme="minorEastAsia" w:hAnsiTheme="minorEastAsia" w:cstheme="minorEastAsia"/>
                <w:szCs w:val="21"/>
                <w:vertAlign w:val="baseline"/>
                <w:lang w:val="en-US" w:eastAsia="zh-CN"/>
              </w:rPr>
            </w:pPr>
          </w:p>
          <w:p>
            <w:pPr>
              <w:pStyle w:val="4"/>
              <w:ind w:firstLine="210" w:firstLineChars="100"/>
              <w:rPr>
                <w:rFonts w:hint="eastAsia" w:asciiTheme="minorEastAsia" w:hAnsiTheme="minorEastAsia" w:eastAsiaTheme="minorEastAsia" w:cstheme="minorEastAsia"/>
                <w:szCs w:val="21"/>
                <w:vertAlign w:val="baseline"/>
                <w:lang w:val="en-US" w:eastAsia="zh-CN"/>
              </w:rPr>
            </w:pPr>
            <w:r>
              <w:rPr>
                <w:rFonts w:hint="eastAsia" w:asciiTheme="minorEastAsia" w:hAnsiTheme="minorEastAsia" w:cstheme="minorEastAsia"/>
                <w:szCs w:val="21"/>
                <w:vertAlign w:val="baseline"/>
                <w:lang w:val="en-US" w:eastAsia="zh-CN"/>
              </w:rPr>
              <w:t>1项</w:t>
            </w:r>
          </w:p>
        </w:tc>
        <w:tc>
          <w:tcPr>
            <w:tcW w:w="1365" w:type="dxa"/>
          </w:tcPr>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tc>
        <w:tc>
          <w:tcPr>
            <w:tcW w:w="1785" w:type="dxa"/>
          </w:tcPr>
          <w:p>
            <w:pPr>
              <w:pStyle w:val="4"/>
              <w:rPr>
                <w:rFonts w:asciiTheme="minorEastAsia" w:hAnsiTheme="minorEastAsia" w:eastAsiaTheme="minorEastAsia" w:cstheme="minorEastAsia"/>
                <w:szCs w:val="21"/>
                <w:vertAlign w:val="baseline"/>
              </w:rPr>
            </w:pPr>
          </w:p>
        </w:tc>
        <w:tc>
          <w:tcPr>
            <w:tcW w:w="855" w:type="dxa"/>
          </w:tcPr>
          <w:p>
            <w:pPr>
              <w:pStyle w:val="4"/>
              <w:rPr>
                <w:rFonts w:asciiTheme="minorEastAsia" w:hAnsiTheme="minorEastAsia" w:eastAsiaTheme="minorEastAsia" w:cstheme="minorEastAsia"/>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9933" w:type="dxa"/>
            <w:gridSpan w:val="7"/>
            <w:vAlign w:val="center"/>
          </w:tcPr>
          <w:p>
            <w:pPr>
              <w:pStyle w:val="4"/>
              <w:jc w:val="left"/>
              <w:rPr>
                <w:rFonts w:asciiTheme="minorEastAsia" w:hAnsiTheme="minorEastAsia" w:eastAsiaTheme="minorEastAsia" w:cstheme="minorEastAsia"/>
                <w:szCs w:val="21"/>
                <w:vertAlign w:val="baseline"/>
              </w:rPr>
            </w:pPr>
            <w:r>
              <w:rPr>
                <w:rFonts w:hint="eastAsia" w:asciiTheme="minorEastAsia" w:hAnsiTheme="minorEastAsia" w:eastAsiaTheme="minorEastAsia" w:cstheme="minorEastAsia"/>
                <w:szCs w:val="21"/>
              </w:rPr>
              <w:t>报价合计（包含税费等所有费用）：（大写）人民币</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元）</w:t>
            </w:r>
          </w:p>
        </w:tc>
      </w:tr>
    </w:tbl>
    <w:p>
      <w:pPr>
        <w:pStyle w:val="4"/>
        <w:rPr>
          <w:rFonts w:asciiTheme="minorEastAsia" w:hAnsiTheme="minorEastAsia" w:eastAsiaTheme="minorEastAsia" w:cstheme="minorEastAsia"/>
          <w:szCs w:val="21"/>
        </w:rPr>
      </w:pPr>
    </w:p>
    <w:p>
      <w:pPr>
        <w:pStyle w:val="4"/>
        <w:rPr>
          <w:rFonts w:asciiTheme="minorEastAsia" w:hAnsiTheme="minorEastAsia" w:eastAsiaTheme="minorEastAsia" w:cstheme="minorEastAsia"/>
          <w:szCs w:val="21"/>
        </w:rPr>
      </w:pPr>
    </w:p>
    <w:p>
      <w:pPr>
        <w:pStyle w:val="4"/>
        <w:rPr>
          <w:rFonts w:asciiTheme="minorEastAsia" w:hAnsiTheme="minorEastAsia" w:eastAsiaTheme="minorEastAsia" w:cstheme="minorEastAsia"/>
          <w:szCs w:val="21"/>
        </w:rPr>
      </w:pPr>
    </w:p>
    <w:p>
      <w:pPr>
        <w:pStyle w:val="4"/>
        <w:spacing w:line="600" w:lineRule="exact"/>
        <w:rPr>
          <w:rFonts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竞标人（盖单位公章）：</w:t>
      </w:r>
      <w:r>
        <w:rPr>
          <w:rFonts w:hint="eastAsia" w:asciiTheme="minorEastAsia" w:hAnsiTheme="minorEastAsia" w:eastAsiaTheme="minorEastAsia" w:cstheme="minorEastAsia"/>
          <w:szCs w:val="21"/>
          <w:u w:val="single"/>
        </w:rPr>
        <w:t xml:space="preserve">                                    </w:t>
      </w:r>
    </w:p>
    <w:p>
      <w:pPr>
        <w:pStyle w:val="4"/>
        <w:spacing w:line="600" w:lineRule="exact"/>
        <w:rPr>
          <w:rFonts w:asciiTheme="minorEastAsia" w:hAnsiTheme="minorEastAsia" w:eastAsiaTheme="minorEastAsia" w:cstheme="minorEastAsia"/>
          <w:szCs w:val="21"/>
          <w:u w:val="single"/>
        </w:rPr>
      </w:pPr>
    </w:p>
    <w:p>
      <w:pPr>
        <w:pStyle w:val="4"/>
        <w:spacing w:line="500" w:lineRule="exact"/>
        <w:rPr>
          <w:rFonts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法定代表人或其委托代理人（签字或盖章）：</w:t>
      </w:r>
      <w:r>
        <w:rPr>
          <w:rFonts w:hint="eastAsia" w:asciiTheme="minorEastAsia" w:hAnsiTheme="minorEastAsia" w:eastAsiaTheme="minorEastAsia" w:cstheme="minorEastAsia"/>
          <w:szCs w:val="21"/>
          <w:u w:val="single"/>
        </w:rPr>
        <w:t xml:space="preserve">                  </w:t>
      </w:r>
    </w:p>
    <w:p>
      <w:pPr>
        <w:pStyle w:val="4"/>
        <w:spacing w:line="500" w:lineRule="exact"/>
        <w:rPr>
          <w:rFonts w:asciiTheme="minorEastAsia" w:hAnsiTheme="minorEastAsia" w:eastAsiaTheme="minorEastAsia" w:cstheme="minorEastAsia"/>
          <w:b/>
          <w:szCs w:val="21"/>
        </w:rPr>
      </w:pPr>
    </w:p>
    <w:p>
      <w:pPr>
        <w:pStyle w:val="4"/>
        <w:spacing w:line="440" w:lineRule="exact"/>
        <w:ind w:firstLine="468"/>
        <w:rPr>
          <w:rFonts w:asciiTheme="minorEastAsia" w:hAnsiTheme="minorEastAsia" w:eastAsiaTheme="minorEastAsia" w:cstheme="minorEastAsia"/>
          <w:szCs w:val="21"/>
        </w:rPr>
      </w:pPr>
    </w:p>
    <w:p>
      <w:pPr>
        <w:pStyle w:val="4"/>
        <w:spacing w:line="440" w:lineRule="exact"/>
        <w:rPr>
          <w:rFonts w:hint="default" w:ascii="仿宋_GB2312" w:hAnsi="宋体" w:eastAsia="仿宋_GB2312" w:cs="仿宋_GB2312"/>
          <w:i w:val="0"/>
          <w:caps w:val="0"/>
          <w:color w:val="000000"/>
          <w:spacing w:val="15"/>
          <w:sz w:val="32"/>
          <w:szCs w:val="32"/>
          <w:shd w:val="clear" w:fill="FFFFFF"/>
          <w:lang w:val="en-US" w:eastAsia="zh-CN"/>
        </w:rPr>
      </w:pPr>
      <w:r>
        <w:rPr>
          <w:rFonts w:hint="eastAsia" w:asciiTheme="minorEastAsia" w:hAnsiTheme="minorEastAsia" w:eastAsiaTheme="minorEastAsia" w:cstheme="minorEastAsia"/>
          <w:szCs w:val="21"/>
        </w:rPr>
        <w:t>注：表格内容均需按要求填写并盖章，不得留空，否则按</w:t>
      </w:r>
      <w:r>
        <w:rPr>
          <w:rFonts w:hint="eastAsia" w:asciiTheme="minorEastAsia" w:hAnsiTheme="minorEastAsia" w:cstheme="minorEastAsia"/>
          <w:szCs w:val="21"/>
          <w:lang w:eastAsia="zh-CN"/>
        </w:rPr>
        <w:t>投标</w:t>
      </w:r>
      <w:r>
        <w:rPr>
          <w:rFonts w:hint="eastAsia" w:asciiTheme="minorEastAsia" w:hAnsiTheme="minorEastAsia" w:eastAsiaTheme="minorEastAsia" w:cstheme="minorEastAsia"/>
          <w:szCs w:val="21"/>
        </w:rPr>
        <w:t>无效处理。</w:t>
      </w:r>
    </w:p>
    <w:sectPr>
      <w:pgSz w:w="11906" w:h="16838"/>
      <w:pgMar w:top="1270" w:right="1576" w:bottom="1213"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03222"/>
    <w:rsid w:val="00277C91"/>
    <w:rsid w:val="00323635"/>
    <w:rsid w:val="0094231D"/>
    <w:rsid w:val="00B24546"/>
    <w:rsid w:val="00DB16F5"/>
    <w:rsid w:val="00EB3936"/>
    <w:rsid w:val="01107820"/>
    <w:rsid w:val="01276041"/>
    <w:rsid w:val="012A7DD2"/>
    <w:rsid w:val="013E00A0"/>
    <w:rsid w:val="015249C6"/>
    <w:rsid w:val="015F084D"/>
    <w:rsid w:val="015F35AA"/>
    <w:rsid w:val="016B7941"/>
    <w:rsid w:val="016E3208"/>
    <w:rsid w:val="01C94FED"/>
    <w:rsid w:val="02023D75"/>
    <w:rsid w:val="02450A24"/>
    <w:rsid w:val="024B59A7"/>
    <w:rsid w:val="02502E90"/>
    <w:rsid w:val="02616DA5"/>
    <w:rsid w:val="02C77B6E"/>
    <w:rsid w:val="02CF2588"/>
    <w:rsid w:val="02D95E8F"/>
    <w:rsid w:val="031B56C3"/>
    <w:rsid w:val="035D104D"/>
    <w:rsid w:val="036471C3"/>
    <w:rsid w:val="036D1CB9"/>
    <w:rsid w:val="038E6C22"/>
    <w:rsid w:val="03C018E7"/>
    <w:rsid w:val="03E775D1"/>
    <w:rsid w:val="03F61632"/>
    <w:rsid w:val="040F3705"/>
    <w:rsid w:val="042B2A9E"/>
    <w:rsid w:val="04386C25"/>
    <w:rsid w:val="045B38B7"/>
    <w:rsid w:val="045D06CB"/>
    <w:rsid w:val="04612C88"/>
    <w:rsid w:val="04AE0C62"/>
    <w:rsid w:val="04C67766"/>
    <w:rsid w:val="04E00125"/>
    <w:rsid w:val="050C153B"/>
    <w:rsid w:val="05901757"/>
    <w:rsid w:val="05933136"/>
    <w:rsid w:val="05F62A68"/>
    <w:rsid w:val="05FD4EEA"/>
    <w:rsid w:val="061504FA"/>
    <w:rsid w:val="067B54A9"/>
    <w:rsid w:val="067C4A2C"/>
    <w:rsid w:val="067D48FE"/>
    <w:rsid w:val="069C0D1A"/>
    <w:rsid w:val="06A068FD"/>
    <w:rsid w:val="06B353FE"/>
    <w:rsid w:val="06D57C4F"/>
    <w:rsid w:val="06EC6E24"/>
    <w:rsid w:val="07455E24"/>
    <w:rsid w:val="074E3DA5"/>
    <w:rsid w:val="07644FCE"/>
    <w:rsid w:val="07984D5F"/>
    <w:rsid w:val="07D9717A"/>
    <w:rsid w:val="0816016D"/>
    <w:rsid w:val="081B7C6A"/>
    <w:rsid w:val="08445425"/>
    <w:rsid w:val="085978F1"/>
    <w:rsid w:val="08BE655F"/>
    <w:rsid w:val="08D47674"/>
    <w:rsid w:val="08DE7761"/>
    <w:rsid w:val="08FF0055"/>
    <w:rsid w:val="0912673B"/>
    <w:rsid w:val="091743B4"/>
    <w:rsid w:val="09334E59"/>
    <w:rsid w:val="09386F13"/>
    <w:rsid w:val="09732DA3"/>
    <w:rsid w:val="0990328A"/>
    <w:rsid w:val="0A3718E3"/>
    <w:rsid w:val="0A590EFF"/>
    <w:rsid w:val="0A832D2B"/>
    <w:rsid w:val="0A9C2D9A"/>
    <w:rsid w:val="0A9F650E"/>
    <w:rsid w:val="0AAE7053"/>
    <w:rsid w:val="0AE04745"/>
    <w:rsid w:val="0B0B4A04"/>
    <w:rsid w:val="0B253B72"/>
    <w:rsid w:val="0B3C366E"/>
    <w:rsid w:val="0B4434DF"/>
    <w:rsid w:val="0B5D3D48"/>
    <w:rsid w:val="0B5E058B"/>
    <w:rsid w:val="0B894A4A"/>
    <w:rsid w:val="0B9B42A5"/>
    <w:rsid w:val="0BA4101C"/>
    <w:rsid w:val="0BAC7A80"/>
    <w:rsid w:val="0C036612"/>
    <w:rsid w:val="0C424305"/>
    <w:rsid w:val="0C905154"/>
    <w:rsid w:val="0CA427D5"/>
    <w:rsid w:val="0CA77594"/>
    <w:rsid w:val="0CAD7AC7"/>
    <w:rsid w:val="0CB03FFD"/>
    <w:rsid w:val="0CCE69C1"/>
    <w:rsid w:val="0CDE0EF7"/>
    <w:rsid w:val="0CDF3EF8"/>
    <w:rsid w:val="0CE16754"/>
    <w:rsid w:val="0D0E05D1"/>
    <w:rsid w:val="0D520D4B"/>
    <w:rsid w:val="0DC05FA9"/>
    <w:rsid w:val="0DC56EF5"/>
    <w:rsid w:val="0DE14C55"/>
    <w:rsid w:val="0DE50968"/>
    <w:rsid w:val="0E141277"/>
    <w:rsid w:val="0E20652A"/>
    <w:rsid w:val="0E6B06A9"/>
    <w:rsid w:val="0E802CD1"/>
    <w:rsid w:val="0EE22FB1"/>
    <w:rsid w:val="0EE74E98"/>
    <w:rsid w:val="0EF62F20"/>
    <w:rsid w:val="0F1E256E"/>
    <w:rsid w:val="0F4577BE"/>
    <w:rsid w:val="0FAF03EF"/>
    <w:rsid w:val="0FBF2BE8"/>
    <w:rsid w:val="0FC542F5"/>
    <w:rsid w:val="0FD53435"/>
    <w:rsid w:val="101A4879"/>
    <w:rsid w:val="10322677"/>
    <w:rsid w:val="10346CFD"/>
    <w:rsid w:val="104053D5"/>
    <w:rsid w:val="105736DF"/>
    <w:rsid w:val="106573B8"/>
    <w:rsid w:val="106A21C0"/>
    <w:rsid w:val="10722280"/>
    <w:rsid w:val="107C1CBF"/>
    <w:rsid w:val="10AB3BFC"/>
    <w:rsid w:val="10EC73A6"/>
    <w:rsid w:val="10F05693"/>
    <w:rsid w:val="10FA7E3B"/>
    <w:rsid w:val="11402F7D"/>
    <w:rsid w:val="115427BA"/>
    <w:rsid w:val="11772AD0"/>
    <w:rsid w:val="117B46D6"/>
    <w:rsid w:val="11851B24"/>
    <w:rsid w:val="11DF400A"/>
    <w:rsid w:val="12047E58"/>
    <w:rsid w:val="120E63DC"/>
    <w:rsid w:val="12233D31"/>
    <w:rsid w:val="123477B2"/>
    <w:rsid w:val="12AE15DD"/>
    <w:rsid w:val="133424E4"/>
    <w:rsid w:val="13441F06"/>
    <w:rsid w:val="1356229B"/>
    <w:rsid w:val="139469DE"/>
    <w:rsid w:val="13E35C29"/>
    <w:rsid w:val="1451183F"/>
    <w:rsid w:val="14650AEA"/>
    <w:rsid w:val="147F5C32"/>
    <w:rsid w:val="149327E6"/>
    <w:rsid w:val="14BA00C9"/>
    <w:rsid w:val="14D44793"/>
    <w:rsid w:val="14D471C3"/>
    <w:rsid w:val="152D1341"/>
    <w:rsid w:val="155A1F76"/>
    <w:rsid w:val="15DA4C94"/>
    <w:rsid w:val="162438B9"/>
    <w:rsid w:val="16476690"/>
    <w:rsid w:val="16554387"/>
    <w:rsid w:val="16635972"/>
    <w:rsid w:val="16C646F8"/>
    <w:rsid w:val="16F029BE"/>
    <w:rsid w:val="16F512C4"/>
    <w:rsid w:val="17472444"/>
    <w:rsid w:val="174E6AC3"/>
    <w:rsid w:val="17974F2E"/>
    <w:rsid w:val="17A503A1"/>
    <w:rsid w:val="17AC3433"/>
    <w:rsid w:val="17B05EB4"/>
    <w:rsid w:val="17B35DE3"/>
    <w:rsid w:val="17C67295"/>
    <w:rsid w:val="17DA3D26"/>
    <w:rsid w:val="17F50FED"/>
    <w:rsid w:val="185912B9"/>
    <w:rsid w:val="186E0A2F"/>
    <w:rsid w:val="18D006C4"/>
    <w:rsid w:val="18DE501A"/>
    <w:rsid w:val="18F02295"/>
    <w:rsid w:val="19225C28"/>
    <w:rsid w:val="192C50F3"/>
    <w:rsid w:val="19423BDF"/>
    <w:rsid w:val="194A5924"/>
    <w:rsid w:val="196C6AC4"/>
    <w:rsid w:val="19A62B5C"/>
    <w:rsid w:val="19BE6BAC"/>
    <w:rsid w:val="19C909EB"/>
    <w:rsid w:val="19C97D4D"/>
    <w:rsid w:val="19D11179"/>
    <w:rsid w:val="19D45EE5"/>
    <w:rsid w:val="1A036B92"/>
    <w:rsid w:val="1A1E03B5"/>
    <w:rsid w:val="1A4A4649"/>
    <w:rsid w:val="1A6531E5"/>
    <w:rsid w:val="1A76647F"/>
    <w:rsid w:val="1A7D090D"/>
    <w:rsid w:val="1A8C10E3"/>
    <w:rsid w:val="1A907276"/>
    <w:rsid w:val="1A994808"/>
    <w:rsid w:val="1ACD2B7E"/>
    <w:rsid w:val="1ACE092A"/>
    <w:rsid w:val="1AD85A04"/>
    <w:rsid w:val="1B317F6D"/>
    <w:rsid w:val="1B6431DA"/>
    <w:rsid w:val="1BB75673"/>
    <w:rsid w:val="1BB82522"/>
    <w:rsid w:val="1BD525AB"/>
    <w:rsid w:val="1BF855EB"/>
    <w:rsid w:val="1C2013EF"/>
    <w:rsid w:val="1C214452"/>
    <w:rsid w:val="1C3037FD"/>
    <w:rsid w:val="1C49567B"/>
    <w:rsid w:val="1C7B3223"/>
    <w:rsid w:val="1CA514F0"/>
    <w:rsid w:val="1CAB0769"/>
    <w:rsid w:val="1D0E6AC0"/>
    <w:rsid w:val="1D2A6EEF"/>
    <w:rsid w:val="1D2B5741"/>
    <w:rsid w:val="1D392CD5"/>
    <w:rsid w:val="1D854F49"/>
    <w:rsid w:val="1D9D4020"/>
    <w:rsid w:val="1DB25492"/>
    <w:rsid w:val="1E020A4B"/>
    <w:rsid w:val="1E215FC8"/>
    <w:rsid w:val="1E37678B"/>
    <w:rsid w:val="1E5933F3"/>
    <w:rsid w:val="1E654502"/>
    <w:rsid w:val="1E883FE4"/>
    <w:rsid w:val="1E931357"/>
    <w:rsid w:val="1EA573D0"/>
    <w:rsid w:val="1F2F4299"/>
    <w:rsid w:val="1F6B082D"/>
    <w:rsid w:val="1FAA6C81"/>
    <w:rsid w:val="1FC65AC1"/>
    <w:rsid w:val="1FCE0366"/>
    <w:rsid w:val="1FD93A53"/>
    <w:rsid w:val="1FEE3FE0"/>
    <w:rsid w:val="201468A1"/>
    <w:rsid w:val="202B61AB"/>
    <w:rsid w:val="20372310"/>
    <w:rsid w:val="2045646B"/>
    <w:rsid w:val="20623D49"/>
    <w:rsid w:val="207F058D"/>
    <w:rsid w:val="208C237C"/>
    <w:rsid w:val="20C863FE"/>
    <w:rsid w:val="20D04EFC"/>
    <w:rsid w:val="20F44FCC"/>
    <w:rsid w:val="210B5792"/>
    <w:rsid w:val="214A2820"/>
    <w:rsid w:val="21827A67"/>
    <w:rsid w:val="21CB32D4"/>
    <w:rsid w:val="21D30FC0"/>
    <w:rsid w:val="21DF1319"/>
    <w:rsid w:val="21EA5A78"/>
    <w:rsid w:val="21EE5E48"/>
    <w:rsid w:val="21FF39DB"/>
    <w:rsid w:val="22070E6F"/>
    <w:rsid w:val="22430163"/>
    <w:rsid w:val="224A5F09"/>
    <w:rsid w:val="22D91964"/>
    <w:rsid w:val="22ED21FF"/>
    <w:rsid w:val="22F6604F"/>
    <w:rsid w:val="233E3F55"/>
    <w:rsid w:val="236C6DC3"/>
    <w:rsid w:val="236D6311"/>
    <w:rsid w:val="238A183D"/>
    <w:rsid w:val="238C4F85"/>
    <w:rsid w:val="23906461"/>
    <w:rsid w:val="23A2740B"/>
    <w:rsid w:val="23AC6ACF"/>
    <w:rsid w:val="244537A0"/>
    <w:rsid w:val="24973D0A"/>
    <w:rsid w:val="249A7154"/>
    <w:rsid w:val="24DE69B8"/>
    <w:rsid w:val="24EB69BB"/>
    <w:rsid w:val="24FA696E"/>
    <w:rsid w:val="252C178B"/>
    <w:rsid w:val="25403C5A"/>
    <w:rsid w:val="25405AFA"/>
    <w:rsid w:val="256D6525"/>
    <w:rsid w:val="25811D5E"/>
    <w:rsid w:val="25A11320"/>
    <w:rsid w:val="25BB54DD"/>
    <w:rsid w:val="25CE0F7F"/>
    <w:rsid w:val="262F052D"/>
    <w:rsid w:val="2651506A"/>
    <w:rsid w:val="265761A4"/>
    <w:rsid w:val="266142F8"/>
    <w:rsid w:val="26644FCC"/>
    <w:rsid w:val="26714B58"/>
    <w:rsid w:val="26B132B3"/>
    <w:rsid w:val="26E46F81"/>
    <w:rsid w:val="27076D67"/>
    <w:rsid w:val="2742746B"/>
    <w:rsid w:val="27592562"/>
    <w:rsid w:val="2775275C"/>
    <w:rsid w:val="27AF69DE"/>
    <w:rsid w:val="27D4347B"/>
    <w:rsid w:val="27D65007"/>
    <w:rsid w:val="27F96370"/>
    <w:rsid w:val="280F512D"/>
    <w:rsid w:val="283E0982"/>
    <w:rsid w:val="285F6F50"/>
    <w:rsid w:val="28650F90"/>
    <w:rsid w:val="287D1A92"/>
    <w:rsid w:val="28DA7F43"/>
    <w:rsid w:val="28EE1F72"/>
    <w:rsid w:val="28F27833"/>
    <w:rsid w:val="291C3316"/>
    <w:rsid w:val="294D7C6B"/>
    <w:rsid w:val="296911BC"/>
    <w:rsid w:val="29695A54"/>
    <w:rsid w:val="298E602D"/>
    <w:rsid w:val="29D26469"/>
    <w:rsid w:val="29D6372D"/>
    <w:rsid w:val="29E36BC9"/>
    <w:rsid w:val="29E96536"/>
    <w:rsid w:val="29EC597A"/>
    <w:rsid w:val="29EE2523"/>
    <w:rsid w:val="2A0A7C24"/>
    <w:rsid w:val="2A491FDC"/>
    <w:rsid w:val="2A910387"/>
    <w:rsid w:val="2A914AAB"/>
    <w:rsid w:val="2AB423A1"/>
    <w:rsid w:val="2ABA748D"/>
    <w:rsid w:val="2ABF3AB5"/>
    <w:rsid w:val="2ACF114B"/>
    <w:rsid w:val="2B034197"/>
    <w:rsid w:val="2B34679C"/>
    <w:rsid w:val="2B39560B"/>
    <w:rsid w:val="2B3A118F"/>
    <w:rsid w:val="2B4461BA"/>
    <w:rsid w:val="2B4C4E2B"/>
    <w:rsid w:val="2B882D63"/>
    <w:rsid w:val="2BED5CD2"/>
    <w:rsid w:val="2C035AA9"/>
    <w:rsid w:val="2C66054A"/>
    <w:rsid w:val="2C742ADF"/>
    <w:rsid w:val="2CD444D8"/>
    <w:rsid w:val="2CE300EA"/>
    <w:rsid w:val="2D1B28F1"/>
    <w:rsid w:val="2D1F1B15"/>
    <w:rsid w:val="2D903D53"/>
    <w:rsid w:val="2D996BAC"/>
    <w:rsid w:val="2D9A0ECB"/>
    <w:rsid w:val="2D9B0627"/>
    <w:rsid w:val="2DAA1218"/>
    <w:rsid w:val="2DCA3A39"/>
    <w:rsid w:val="2E0F1A0E"/>
    <w:rsid w:val="2E1A01DE"/>
    <w:rsid w:val="2E3F47D8"/>
    <w:rsid w:val="2E4A353B"/>
    <w:rsid w:val="2E57526A"/>
    <w:rsid w:val="2E7931FD"/>
    <w:rsid w:val="2E9E61F1"/>
    <w:rsid w:val="2EB77A16"/>
    <w:rsid w:val="2EDC63FB"/>
    <w:rsid w:val="2EF4079F"/>
    <w:rsid w:val="2EF82E8C"/>
    <w:rsid w:val="2F0A410F"/>
    <w:rsid w:val="2F4F466D"/>
    <w:rsid w:val="2F5438D1"/>
    <w:rsid w:val="2F74539E"/>
    <w:rsid w:val="2F86780E"/>
    <w:rsid w:val="2FA072CE"/>
    <w:rsid w:val="2FBF1B87"/>
    <w:rsid w:val="2FEC463A"/>
    <w:rsid w:val="2FEF10AD"/>
    <w:rsid w:val="2FF01B5D"/>
    <w:rsid w:val="301566E4"/>
    <w:rsid w:val="30380EFD"/>
    <w:rsid w:val="304737B8"/>
    <w:rsid w:val="30743B43"/>
    <w:rsid w:val="30762ED1"/>
    <w:rsid w:val="3077056D"/>
    <w:rsid w:val="307C65D9"/>
    <w:rsid w:val="308145A4"/>
    <w:rsid w:val="30B265CB"/>
    <w:rsid w:val="30C032DC"/>
    <w:rsid w:val="30CD3556"/>
    <w:rsid w:val="30CF03F5"/>
    <w:rsid w:val="30D164AC"/>
    <w:rsid w:val="30E87759"/>
    <w:rsid w:val="310444EE"/>
    <w:rsid w:val="312735D9"/>
    <w:rsid w:val="3130516F"/>
    <w:rsid w:val="31782ABA"/>
    <w:rsid w:val="317F2525"/>
    <w:rsid w:val="318C022F"/>
    <w:rsid w:val="318C0787"/>
    <w:rsid w:val="31A25149"/>
    <w:rsid w:val="31AF3BC6"/>
    <w:rsid w:val="31CC7F43"/>
    <w:rsid w:val="31E433BD"/>
    <w:rsid w:val="31EA14EF"/>
    <w:rsid w:val="31ED2BBC"/>
    <w:rsid w:val="31F04974"/>
    <w:rsid w:val="32144F6B"/>
    <w:rsid w:val="323359E0"/>
    <w:rsid w:val="323366BD"/>
    <w:rsid w:val="32510646"/>
    <w:rsid w:val="32554D65"/>
    <w:rsid w:val="32556D07"/>
    <w:rsid w:val="32645FA0"/>
    <w:rsid w:val="32950B4E"/>
    <w:rsid w:val="32BD5514"/>
    <w:rsid w:val="32CE76AE"/>
    <w:rsid w:val="32FF04A8"/>
    <w:rsid w:val="33267D62"/>
    <w:rsid w:val="33533877"/>
    <w:rsid w:val="336127FB"/>
    <w:rsid w:val="33792A26"/>
    <w:rsid w:val="33A45B91"/>
    <w:rsid w:val="34131A69"/>
    <w:rsid w:val="342E1B6C"/>
    <w:rsid w:val="347237AF"/>
    <w:rsid w:val="349C2FCA"/>
    <w:rsid w:val="34C752F6"/>
    <w:rsid w:val="34F308DB"/>
    <w:rsid w:val="350864C2"/>
    <w:rsid w:val="35361927"/>
    <w:rsid w:val="3583684E"/>
    <w:rsid w:val="35902289"/>
    <w:rsid w:val="35B22666"/>
    <w:rsid w:val="35B33E11"/>
    <w:rsid w:val="35C9081B"/>
    <w:rsid w:val="35CC61A9"/>
    <w:rsid w:val="35CE4FC1"/>
    <w:rsid w:val="36025178"/>
    <w:rsid w:val="367B08E9"/>
    <w:rsid w:val="36863185"/>
    <w:rsid w:val="368D02E0"/>
    <w:rsid w:val="36971AC1"/>
    <w:rsid w:val="36B261C8"/>
    <w:rsid w:val="36FE0B10"/>
    <w:rsid w:val="375E65F7"/>
    <w:rsid w:val="37664226"/>
    <w:rsid w:val="37964BD7"/>
    <w:rsid w:val="37F63E14"/>
    <w:rsid w:val="38762086"/>
    <w:rsid w:val="387B6676"/>
    <w:rsid w:val="38DA3B43"/>
    <w:rsid w:val="3905041C"/>
    <w:rsid w:val="39190194"/>
    <w:rsid w:val="392468CE"/>
    <w:rsid w:val="39630928"/>
    <w:rsid w:val="398C3158"/>
    <w:rsid w:val="398D5F0D"/>
    <w:rsid w:val="39E70CEB"/>
    <w:rsid w:val="3A0E1DA2"/>
    <w:rsid w:val="3A1A174B"/>
    <w:rsid w:val="3A1C7497"/>
    <w:rsid w:val="3A7C622C"/>
    <w:rsid w:val="3B1072D7"/>
    <w:rsid w:val="3B2B40FC"/>
    <w:rsid w:val="3B32652E"/>
    <w:rsid w:val="3B382B35"/>
    <w:rsid w:val="3B463624"/>
    <w:rsid w:val="3B4C6799"/>
    <w:rsid w:val="3B886938"/>
    <w:rsid w:val="3B9A43C4"/>
    <w:rsid w:val="3BC35B77"/>
    <w:rsid w:val="3BCC2E3F"/>
    <w:rsid w:val="3C355835"/>
    <w:rsid w:val="3C427C84"/>
    <w:rsid w:val="3C801D4A"/>
    <w:rsid w:val="3CA6413E"/>
    <w:rsid w:val="3CD00537"/>
    <w:rsid w:val="3CFC06C9"/>
    <w:rsid w:val="3D3E30C8"/>
    <w:rsid w:val="3D4420C4"/>
    <w:rsid w:val="3D836DBF"/>
    <w:rsid w:val="3D8B46A9"/>
    <w:rsid w:val="3D8D4043"/>
    <w:rsid w:val="3DA07968"/>
    <w:rsid w:val="3DB97072"/>
    <w:rsid w:val="3E014F58"/>
    <w:rsid w:val="3E033B39"/>
    <w:rsid w:val="3E236579"/>
    <w:rsid w:val="3E3E0FC3"/>
    <w:rsid w:val="3E5124B0"/>
    <w:rsid w:val="3E9A5298"/>
    <w:rsid w:val="3EB177DA"/>
    <w:rsid w:val="3EC65347"/>
    <w:rsid w:val="3EC7316B"/>
    <w:rsid w:val="3F1E2025"/>
    <w:rsid w:val="3F4F0C66"/>
    <w:rsid w:val="3F5A4C65"/>
    <w:rsid w:val="3F633807"/>
    <w:rsid w:val="3FA1323D"/>
    <w:rsid w:val="3FB14A35"/>
    <w:rsid w:val="3FCF20A1"/>
    <w:rsid w:val="3FDD09E8"/>
    <w:rsid w:val="40263D2A"/>
    <w:rsid w:val="40345B95"/>
    <w:rsid w:val="40393AB6"/>
    <w:rsid w:val="408F0C06"/>
    <w:rsid w:val="408F3EA0"/>
    <w:rsid w:val="40AB77C2"/>
    <w:rsid w:val="40CB2F36"/>
    <w:rsid w:val="40F51583"/>
    <w:rsid w:val="41415295"/>
    <w:rsid w:val="416325BC"/>
    <w:rsid w:val="41796F00"/>
    <w:rsid w:val="419E3AA3"/>
    <w:rsid w:val="421D0552"/>
    <w:rsid w:val="42311689"/>
    <w:rsid w:val="427E6FD4"/>
    <w:rsid w:val="42E00D65"/>
    <w:rsid w:val="43197D40"/>
    <w:rsid w:val="433B0E6E"/>
    <w:rsid w:val="43486C85"/>
    <w:rsid w:val="4364403F"/>
    <w:rsid w:val="43A918B1"/>
    <w:rsid w:val="43AC7EF9"/>
    <w:rsid w:val="43CF7AD7"/>
    <w:rsid w:val="440D633D"/>
    <w:rsid w:val="444F7B91"/>
    <w:rsid w:val="44560A29"/>
    <w:rsid w:val="44D043EE"/>
    <w:rsid w:val="44ED4AC8"/>
    <w:rsid w:val="44FC47E0"/>
    <w:rsid w:val="4513287F"/>
    <w:rsid w:val="45194FEC"/>
    <w:rsid w:val="455B0A3D"/>
    <w:rsid w:val="45D81177"/>
    <w:rsid w:val="46330860"/>
    <w:rsid w:val="463E12CD"/>
    <w:rsid w:val="466C0CC3"/>
    <w:rsid w:val="46791520"/>
    <w:rsid w:val="46931711"/>
    <w:rsid w:val="46B7507D"/>
    <w:rsid w:val="46B80FD0"/>
    <w:rsid w:val="46F1166A"/>
    <w:rsid w:val="47342D09"/>
    <w:rsid w:val="474F11AF"/>
    <w:rsid w:val="47691DA8"/>
    <w:rsid w:val="47733576"/>
    <w:rsid w:val="477D45E2"/>
    <w:rsid w:val="47AF039F"/>
    <w:rsid w:val="47BF4A37"/>
    <w:rsid w:val="47DB0C72"/>
    <w:rsid w:val="480665F6"/>
    <w:rsid w:val="48143A11"/>
    <w:rsid w:val="4817109F"/>
    <w:rsid w:val="4825287E"/>
    <w:rsid w:val="484F280F"/>
    <w:rsid w:val="48501BB2"/>
    <w:rsid w:val="486E57D0"/>
    <w:rsid w:val="48910643"/>
    <w:rsid w:val="48AC1B1D"/>
    <w:rsid w:val="48AF311E"/>
    <w:rsid w:val="48B914EA"/>
    <w:rsid w:val="48D54326"/>
    <w:rsid w:val="48DA5442"/>
    <w:rsid w:val="4931620B"/>
    <w:rsid w:val="494461DD"/>
    <w:rsid w:val="496C2995"/>
    <w:rsid w:val="496D3379"/>
    <w:rsid w:val="49783A8A"/>
    <w:rsid w:val="49EB7C45"/>
    <w:rsid w:val="4A8737D1"/>
    <w:rsid w:val="4AFE1530"/>
    <w:rsid w:val="4B5A590E"/>
    <w:rsid w:val="4B791D0F"/>
    <w:rsid w:val="4BA61698"/>
    <w:rsid w:val="4BD0485F"/>
    <w:rsid w:val="4BE04083"/>
    <w:rsid w:val="4BE50702"/>
    <w:rsid w:val="4BEC4964"/>
    <w:rsid w:val="4BEC6616"/>
    <w:rsid w:val="4C3E6DE4"/>
    <w:rsid w:val="4C6325C1"/>
    <w:rsid w:val="4C6A5EBC"/>
    <w:rsid w:val="4C887569"/>
    <w:rsid w:val="4C9F6456"/>
    <w:rsid w:val="4CA21F13"/>
    <w:rsid w:val="4CBA7841"/>
    <w:rsid w:val="4CC544F2"/>
    <w:rsid w:val="4CD8044F"/>
    <w:rsid w:val="4CF47174"/>
    <w:rsid w:val="4CFC3059"/>
    <w:rsid w:val="4D0910D1"/>
    <w:rsid w:val="4D891220"/>
    <w:rsid w:val="4D98563B"/>
    <w:rsid w:val="4D9F7A6D"/>
    <w:rsid w:val="4DA6023E"/>
    <w:rsid w:val="4DE466E4"/>
    <w:rsid w:val="4DED74D5"/>
    <w:rsid w:val="4DEF29AA"/>
    <w:rsid w:val="4DFA732F"/>
    <w:rsid w:val="4E5128D2"/>
    <w:rsid w:val="4E650350"/>
    <w:rsid w:val="4E926869"/>
    <w:rsid w:val="4EC863E9"/>
    <w:rsid w:val="4ECC56E8"/>
    <w:rsid w:val="4F06509B"/>
    <w:rsid w:val="4F1D1A6E"/>
    <w:rsid w:val="4F2F1EBC"/>
    <w:rsid w:val="4F494735"/>
    <w:rsid w:val="4F5F204E"/>
    <w:rsid w:val="4F656BB2"/>
    <w:rsid w:val="4F972B06"/>
    <w:rsid w:val="4FAF0B03"/>
    <w:rsid w:val="4FB8612E"/>
    <w:rsid w:val="4FBD0E07"/>
    <w:rsid w:val="4FC109B4"/>
    <w:rsid w:val="4FC425A7"/>
    <w:rsid w:val="4FCE3177"/>
    <w:rsid w:val="4FDA1CA4"/>
    <w:rsid w:val="50163C04"/>
    <w:rsid w:val="50215076"/>
    <w:rsid w:val="503912FC"/>
    <w:rsid w:val="505F3A2E"/>
    <w:rsid w:val="5064534C"/>
    <w:rsid w:val="50A3215D"/>
    <w:rsid w:val="50F24B94"/>
    <w:rsid w:val="510D06D6"/>
    <w:rsid w:val="5164687E"/>
    <w:rsid w:val="519C1787"/>
    <w:rsid w:val="52277156"/>
    <w:rsid w:val="524034B4"/>
    <w:rsid w:val="52540DC7"/>
    <w:rsid w:val="52732E73"/>
    <w:rsid w:val="529B5724"/>
    <w:rsid w:val="52AD64EB"/>
    <w:rsid w:val="52B63723"/>
    <w:rsid w:val="52D22737"/>
    <w:rsid w:val="53392A94"/>
    <w:rsid w:val="533F4954"/>
    <w:rsid w:val="53767106"/>
    <w:rsid w:val="538718C9"/>
    <w:rsid w:val="539378A7"/>
    <w:rsid w:val="5398481E"/>
    <w:rsid w:val="539D1F5C"/>
    <w:rsid w:val="53A00F46"/>
    <w:rsid w:val="53B413B1"/>
    <w:rsid w:val="53BE2E0C"/>
    <w:rsid w:val="53DF52AD"/>
    <w:rsid w:val="53DF6C78"/>
    <w:rsid w:val="53E36319"/>
    <w:rsid w:val="53EB3264"/>
    <w:rsid w:val="54196AF6"/>
    <w:rsid w:val="541E4BE5"/>
    <w:rsid w:val="54492A66"/>
    <w:rsid w:val="544B5B68"/>
    <w:rsid w:val="549A1982"/>
    <w:rsid w:val="54AD283C"/>
    <w:rsid w:val="54BD6947"/>
    <w:rsid w:val="54E624D0"/>
    <w:rsid w:val="553517A4"/>
    <w:rsid w:val="558329D8"/>
    <w:rsid w:val="55B17F5E"/>
    <w:rsid w:val="562878CD"/>
    <w:rsid w:val="56385972"/>
    <w:rsid w:val="565603A6"/>
    <w:rsid w:val="5657317E"/>
    <w:rsid w:val="56EF487A"/>
    <w:rsid w:val="56FE632D"/>
    <w:rsid w:val="571810BD"/>
    <w:rsid w:val="578D2033"/>
    <w:rsid w:val="57A0402B"/>
    <w:rsid w:val="57B25190"/>
    <w:rsid w:val="57CA3C39"/>
    <w:rsid w:val="57CE0463"/>
    <w:rsid w:val="584331F4"/>
    <w:rsid w:val="5847495A"/>
    <w:rsid w:val="586E6311"/>
    <w:rsid w:val="589013ED"/>
    <w:rsid w:val="58AF10EC"/>
    <w:rsid w:val="58CC57D8"/>
    <w:rsid w:val="58E53300"/>
    <w:rsid w:val="591C7677"/>
    <w:rsid w:val="593E7462"/>
    <w:rsid w:val="5954409D"/>
    <w:rsid w:val="59751D84"/>
    <w:rsid w:val="59EA5123"/>
    <w:rsid w:val="5A6049D3"/>
    <w:rsid w:val="5AAC387A"/>
    <w:rsid w:val="5ABD4B42"/>
    <w:rsid w:val="5AD238AF"/>
    <w:rsid w:val="5AD43F20"/>
    <w:rsid w:val="5AE37293"/>
    <w:rsid w:val="5AFF18ED"/>
    <w:rsid w:val="5B174C24"/>
    <w:rsid w:val="5B2647D0"/>
    <w:rsid w:val="5B30019C"/>
    <w:rsid w:val="5B54195F"/>
    <w:rsid w:val="5B9D048E"/>
    <w:rsid w:val="5B9F3497"/>
    <w:rsid w:val="5BA44FD3"/>
    <w:rsid w:val="5BAB62C6"/>
    <w:rsid w:val="5BCC3DDE"/>
    <w:rsid w:val="5C1B6497"/>
    <w:rsid w:val="5C3E1B05"/>
    <w:rsid w:val="5C752D1F"/>
    <w:rsid w:val="5C777FC3"/>
    <w:rsid w:val="5C790ABB"/>
    <w:rsid w:val="5CA22893"/>
    <w:rsid w:val="5CBD3A51"/>
    <w:rsid w:val="5CBF63A3"/>
    <w:rsid w:val="5D141502"/>
    <w:rsid w:val="5D1F6510"/>
    <w:rsid w:val="5D326C82"/>
    <w:rsid w:val="5D6D51A0"/>
    <w:rsid w:val="5D7A0EFE"/>
    <w:rsid w:val="5D8A27C8"/>
    <w:rsid w:val="5D8B6530"/>
    <w:rsid w:val="5D8E2CF5"/>
    <w:rsid w:val="5D9765CC"/>
    <w:rsid w:val="5DB83708"/>
    <w:rsid w:val="5DBD01BD"/>
    <w:rsid w:val="5DEA4910"/>
    <w:rsid w:val="5DFC2ACE"/>
    <w:rsid w:val="5E1D5CDD"/>
    <w:rsid w:val="5E944C40"/>
    <w:rsid w:val="5EC13FED"/>
    <w:rsid w:val="5EEB1AB8"/>
    <w:rsid w:val="5F003F9B"/>
    <w:rsid w:val="5F4D01DC"/>
    <w:rsid w:val="5F6B610A"/>
    <w:rsid w:val="5F705414"/>
    <w:rsid w:val="5F7A6603"/>
    <w:rsid w:val="5F957A6C"/>
    <w:rsid w:val="5F970C17"/>
    <w:rsid w:val="5FA07D97"/>
    <w:rsid w:val="5FBD518D"/>
    <w:rsid w:val="5FBE4681"/>
    <w:rsid w:val="5FC5024A"/>
    <w:rsid w:val="5FDB4EC7"/>
    <w:rsid w:val="5FDD2FE2"/>
    <w:rsid w:val="5FE470B0"/>
    <w:rsid w:val="606F6B7A"/>
    <w:rsid w:val="607411DC"/>
    <w:rsid w:val="611265F3"/>
    <w:rsid w:val="611B68BF"/>
    <w:rsid w:val="613F53D2"/>
    <w:rsid w:val="616F6992"/>
    <w:rsid w:val="617A3030"/>
    <w:rsid w:val="61B5032E"/>
    <w:rsid w:val="61F310A8"/>
    <w:rsid w:val="61F916EC"/>
    <w:rsid w:val="620360F8"/>
    <w:rsid w:val="621409F7"/>
    <w:rsid w:val="62353694"/>
    <w:rsid w:val="62D238F5"/>
    <w:rsid w:val="63040FB0"/>
    <w:rsid w:val="632E7D87"/>
    <w:rsid w:val="633452B5"/>
    <w:rsid w:val="63680B30"/>
    <w:rsid w:val="63695BDF"/>
    <w:rsid w:val="641C210C"/>
    <w:rsid w:val="64206434"/>
    <w:rsid w:val="64683E83"/>
    <w:rsid w:val="649B4A42"/>
    <w:rsid w:val="649F08AC"/>
    <w:rsid w:val="64DB2C1D"/>
    <w:rsid w:val="64FE7CAA"/>
    <w:rsid w:val="653103BC"/>
    <w:rsid w:val="65367902"/>
    <w:rsid w:val="65407F13"/>
    <w:rsid w:val="654C02EC"/>
    <w:rsid w:val="65681C27"/>
    <w:rsid w:val="658310F4"/>
    <w:rsid w:val="65910514"/>
    <w:rsid w:val="65926198"/>
    <w:rsid w:val="65981FEA"/>
    <w:rsid w:val="65F30C08"/>
    <w:rsid w:val="662F08FB"/>
    <w:rsid w:val="66494C14"/>
    <w:rsid w:val="66645278"/>
    <w:rsid w:val="66C34BF0"/>
    <w:rsid w:val="66CB4665"/>
    <w:rsid w:val="66F95D74"/>
    <w:rsid w:val="67014231"/>
    <w:rsid w:val="670313DE"/>
    <w:rsid w:val="6734049E"/>
    <w:rsid w:val="67410DE7"/>
    <w:rsid w:val="67486190"/>
    <w:rsid w:val="67AE1A46"/>
    <w:rsid w:val="67B7437E"/>
    <w:rsid w:val="67DE54ED"/>
    <w:rsid w:val="68292F22"/>
    <w:rsid w:val="682B59A7"/>
    <w:rsid w:val="683109C2"/>
    <w:rsid w:val="68550CC1"/>
    <w:rsid w:val="688A46D7"/>
    <w:rsid w:val="68C048C4"/>
    <w:rsid w:val="68C063C9"/>
    <w:rsid w:val="68CE058F"/>
    <w:rsid w:val="68D85849"/>
    <w:rsid w:val="690610F0"/>
    <w:rsid w:val="692A2401"/>
    <w:rsid w:val="69543FB8"/>
    <w:rsid w:val="69CB7B1E"/>
    <w:rsid w:val="69D26E10"/>
    <w:rsid w:val="69F263DE"/>
    <w:rsid w:val="6A155067"/>
    <w:rsid w:val="6A1779FD"/>
    <w:rsid w:val="6A2D2BBC"/>
    <w:rsid w:val="6A502994"/>
    <w:rsid w:val="6A6378AC"/>
    <w:rsid w:val="6A77618D"/>
    <w:rsid w:val="6A7771CD"/>
    <w:rsid w:val="6A8E0942"/>
    <w:rsid w:val="6A927BBE"/>
    <w:rsid w:val="6AAA36BE"/>
    <w:rsid w:val="6AC54D75"/>
    <w:rsid w:val="6AEB54A3"/>
    <w:rsid w:val="6B2A152C"/>
    <w:rsid w:val="6B2D67A1"/>
    <w:rsid w:val="6B4A41DF"/>
    <w:rsid w:val="6BC13FB3"/>
    <w:rsid w:val="6BEF61AE"/>
    <w:rsid w:val="6C0A2E33"/>
    <w:rsid w:val="6C115BE0"/>
    <w:rsid w:val="6C5A3462"/>
    <w:rsid w:val="6C6C540D"/>
    <w:rsid w:val="6CA12E3D"/>
    <w:rsid w:val="6CB13ECB"/>
    <w:rsid w:val="6CCA46B2"/>
    <w:rsid w:val="6CD52775"/>
    <w:rsid w:val="6D027D83"/>
    <w:rsid w:val="6D2741EF"/>
    <w:rsid w:val="6D5C2BF0"/>
    <w:rsid w:val="6D635677"/>
    <w:rsid w:val="6D8E0EF1"/>
    <w:rsid w:val="6DC12810"/>
    <w:rsid w:val="6DE53886"/>
    <w:rsid w:val="6DEB07DE"/>
    <w:rsid w:val="6E1A57F4"/>
    <w:rsid w:val="6E247611"/>
    <w:rsid w:val="6E4846FB"/>
    <w:rsid w:val="6E523C53"/>
    <w:rsid w:val="6E5709CF"/>
    <w:rsid w:val="6E5B68A0"/>
    <w:rsid w:val="6E7D48CF"/>
    <w:rsid w:val="6E9C5CC5"/>
    <w:rsid w:val="6EA3410F"/>
    <w:rsid w:val="6ED11F0D"/>
    <w:rsid w:val="6EE224B9"/>
    <w:rsid w:val="6EE85E14"/>
    <w:rsid w:val="6F5B27FF"/>
    <w:rsid w:val="6FA816CB"/>
    <w:rsid w:val="6FBB743C"/>
    <w:rsid w:val="6FC745AF"/>
    <w:rsid w:val="6FCA795F"/>
    <w:rsid w:val="700E1760"/>
    <w:rsid w:val="704F1171"/>
    <w:rsid w:val="70805565"/>
    <w:rsid w:val="70B736EE"/>
    <w:rsid w:val="70B87CD4"/>
    <w:rsid w:val="70E470A4"/>
    <w:rsid w:val="710E767B"/>
    <w:rsid w:val="712075D4"/>
    <w:rsid w:val="7127508A"/>
    <w:rsid w:val="712812A1"/>
    <w:rsid w:val="713F466A"/>
    <w:rsid w:val="71766123"/>
    <w:rsid w:val="72085819"/>
    <w:rsid w:val="72293BB5"/>
    <w:rsid w:val="725E281A"/>
    <w:rsid w:val="729D3F8E"/>
    <w:rsid w:val="72B81D2E"/>
    <w:rsid w:val="72BA0DC8"/>
    <w:rsid w:val="72BB2586"/>
    <w:rsid w:val="72E47E85"/>
    <w:rsid w:val="733536DB"/>
    <w:rsid w:val="7374347A"/>
    <w:rsid w:val="73B73A40"/>
    <w:rsid w:val="73CD3433"/>
    <w:rsid w:val="741D011D"/>
    <w:rsid w:val="742261C6"/>
    <w:rsid w:val="744645F8"/>
    <w:rsid w:val="747628B9"/>
    <w:rsid w:val="74916CDC"/>
    <w:rsid w:val="74CC72CA"/>
    <w:rsid w:val="74EA0C47"/>
    <w:rsid w:val="750C412E"/>
    <w:rsid w:val="751B1242"/>
    <w:rsid w:val="755E201E"/>
    <w:rsid w:val="7591259A"/>
    <w:rsid w:val="75F2793E"/>
    <w:rsid w:val="768C5F1B"/>
    <w:rsid w:val="768F756F"/>
    <w:rsid w:val="76A805A2"/>
    <w:rsid w:val="76E26A05"/>
    <w:rsid w:val="7706525B"/>
    <w:rsid w:val="772B07F7"/>
    <w:rsid w:val="77623947"/>
    <w:rsid w:val="776A6AE2"/>
    <w:rsid w:val="77AB18D1"/>
    <w:rsid w:val="77AD41FF"/>
    <w:rsid w:val="78035878"/>
    <w:rsid w:val="781D4C9F"/>
    <w:rsid w:val="789D1B38"/>
    <w:rsid w:val="78B71476"/>
    <w:rsid w:val="78ED2E09"/>
    <w:rsid w:val="79086F47"/>
    <w:rsid w:val="792F1B57"/>
    <w:rsid w:val="794F356B"/>
    <w:rsid w:val="796A56A5"/>
    <w:rsid w:val="79805DE9"/>
    <w:rsid w:val="79834DBC"/>
    <w:rsid w:val="79955265"/>
    <w:rsid w:val="79AC3D39"/>
    <w:rsid w:val="79AF15C0"/>
    <w:rsid w:val="79F57096"/>
    <w:rsid w:val="7A006590"/>
    <w:rsid w:val="7A456471"/>
    <w:rsid w:val="7A914F76"/>
    <w:rsid w:val="7AA51B2A"/>
    <w:rsid w:val="7AAB1467"/>
    <w:rsid w:val="7B0C7A45"/>
    <w:rsid w:val="7B0C7BEB"/>
    <w:rsid w:val="7B2E172C"/>
    <w:rsid w:val="7B517723"/>
    <w:rsid w:val="7BEA09AB"/>
    <w:rsid w:val="7C0346C5"/>
    <w:rsid w:val="7C1254D6"/>
    <w:rsid w:val="7C137E40"/>
    <w:rsid w:val="7C1F1560"/>
    <w:rsid w:val="7C1F160A"/>
    <w:rsid w:val="7C20245C"/>
    <w:rsid w:val="7C383C51"/>
    <w:rsid w:val="7C3A11E5"/>
    <w:rsid w:val="7C525909"/>
    <w:rsid w:val="7C6E26A8"/>
    <w:rsid w:val="7C7A01A3"/>
    <w:rsid w:val="7C9D5974"/>
    <w:rsid w:val="7D11282E"/>
    <w:rsid w:val="7D336A94"/>
    <w:rsid w:val="7D996BBB"/>
    <w:rsid w:val="7DB73A20"/>
    <w:rsid w:val="7DBB71BB"/>
    <w:rsid w:val="7DEC5B2F"/>
    <w:rsid w:val="7DF33B0D"/>
    <w:rsid w:val="7E07584B"/>
    <w:rsid w:val="7E0B4D22"/>
    <w:rsid w:val="7E0C4F7C"/>
    <w:rsid w:val="7E1D4761"/>
    <w:rsid w:val="7E663EDC"/>
    <w:rsid w:val="7E672D9D"/>
    <w:rsid w:val="7E76507D"/>
    <w:rsid w:val="7E7A7376"/>
    <w:rsid w:val="7EB7279E"/>
    <w:rsid w:val="7EC55AEA"/>
    <w:rsid w:val="7ED97E28"/>
    <w:rsid w:val="7F007C0B"/>
    <w:rsid w:val="7F046D38"/>
    <w:rsid w:val="7F1A5F1D"/>
    <w:rsid w:val="7F3956D2"/>
    <w:rsid w:val="7F3D225C"/>
    <w:rsid w:val="7F4E6E82"/>
    <w:rsid w:val="7F542359"/>
    <w:rsid w:val="7F8C1E6A"/>
    <w:rsid w:val="7FA169D4"/>
    <w:rsid w:val="7FA75D18"/>
    <w:rsid w:val="7FA973E1"/>
    <w:rsid w:val="7FC833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szCs w:val="24"/>
    </w:rPr>
  </w:style>
  <w:style w:type="paragraph" w:styleId="4">
    <w:name w:val="Plain Text"/>
    <w:basedOn w:val="1"/>
    <w:next w:val="3"/>
    <w:qFormat/>
    <w:uiPriority w:val="0"/>
    <w:rPr>
      <w:rFonts w:ascii="宋体" w:hAnsi="Courier New"/>
      <w:szCs w:val="20"/>
    </w:rPr>
  </w:style>
  <w:style w:type="paragraph" w:styleId="5">
    <w:name w:val="footer"/>
    <w:basedOn w:val="1"/>
    <w:unhideWhenUsed/>
    <w:qFormat/>
    <w:uiPriority w:val="0"/>
    <w:pPr>
      <w:tabs>
        <w:tab w:val="center" w:pos="4153"/>
        <w:tab w:val="right" w:pos="8306"/>
      </w:tabs>
      <w:snapToGrid w:val="0"/>
      <w:jc w:val="left"/>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34"/>
    <w:pPr>
      <w:ind w:firstLine="420" w:firstLineChars="200"/>
    </w:pPr>
  </w:style>
  <w:style w:type="paragraph" w:customStyle="1" w:styleId="11">
    <w:name w:val="Default"/>
    <w:qFormat/>
    <w:uiPriority w:val="0"/>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12">
    <w:name w:val="p"/>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2020-04-28T07:11:00Z</dcterms:created>
  <dc:creator>ASUS</dc:creator>
  <cp:lastModifiedBy>Administrator</cp:lastModifiedBy>
  <cp:lastPrinted>2020-05-25T06:39:00Z</cp:lastPrinted>
  <dcterms:modified xsi:type="dcterms:W3CDTF">2021-02-02T02:42:03Z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