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outlineLvl w:val="0"/>
        <w:rPr>
          <w:rFonts w:ascii="宋体" w:hAnsi="Courier New" w:cs="宋体"/>
          <w:b/>
          <w:bCs/>
          <w:sz w:val="32"/>
          <w:szCs w:val="32"/>
        </w:rPr>
      </w:pPr>
      <w:r>
        <w:rPr>
          <w:rFonts w:hint="eastAsia" w:ascii="宋体" w:hAnsi="Courier New" w:cs="宋体"/>
          <w:b/>
          <w:bCs/>
          <w:sz w:val="32"/>
          <w:szCs w:val="32"/>
        </w:rPr>
        <w:t>附件</w:t>
      </w:r>
      <w:r>
        <w:rPr>
          <w:rFonts w:ascii="宋体" w:hAnsi="Courier New" w:cs="宋体"/>
          <w:b/>
          <w:bCs/>
          <w:sz w:val="32"/>
          <w:szCs w:val="32"/>
        </w:rPr>
        <w:t>2</w:t>
      </w:r>
    </w:p>
    <w:p>
      <w:pPr>
        <w:pStyle w:val="3"/>
        <w:jc w:val="center"/>
        <w:rPr>
          <w:rFonts w:cs="Times New Roman"/>
          <w:b/>
          <w:bCs/>
          <w:sz w:val="24"/>
          <w:szCs w:val="24"/>
        </w:rPr>
      </w:pPr>
      <w:bookmarkStart w:id="0" w:name="_GoBack"/>
      <w:r>
        <w:rPr>
          <w:rFonts w:hint="eastAsia"/>
          <w:b/>
          <w:bCs/>
          <w:sz w:val="32"/>
          <w:szCs w:val="32"/>
        </w:rPr>
        <w:t>报价表</w:t>
      </w:r>
    </w:p>
    <w:bookmarkEnd w:id="0"/>
    <w:p>
      <w:pPr>
        <w:pStyle w:val="3"/>
        <w:rPr>
          <w:rFonts w:cs="Times New Roman"/>
          <w:b/>
          <w:bCs/>
          <w:sz w:val="24"/>
          <w:szCs w:val="24"/>
        </w:rPr>
      </w:pPr>
    </w:p>
    <w:p>
      <w:pPr>
        <w:adjustRightInd w:val="0"/>
        <w:spacing w:line="400" w:lineRule="exact"/>
        <w:ind w:firstLine="435"/>
        <w:rPr>
          <w:rFonts w:cs="Times New Roman"/>
          <w:b/>
          <w:bCs/>
          <w:sz w:val="24"/>
          <w:szCs w:val="24"/>
        </w:rPr>
      </w:pPr>
      <w:r>
        <w:rPr>
          <w:rFonts w:hint="eastAsia" w:cs="宋体"/>
          <w:b/>
          <w:bCs/>
          <w:sz w:val="24"/>
          <w:szCs w:val="24"/>
        </w:rPr>
        <w:t>我公司已认真阅读了南宁中心血站2020年度财务收支专项审计服务采购公告，我方完全理解并接受贵方本次采购内容和要求，在满足采购人商务条款的需求下，参与该项目报价。</w:t>
      </w:r>
    </w:p>
    <w:tbl>
      <w:tblPr>
        <w:tblStyle w:val="5"/>
        <w:tblW w:w="993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00"/>
        <w:gridCol w:w="2970"/>
        <w:gridCol w:w="1005"/>
        <w:gridCol w:w="1365"/>
        <w:gridCol w:w="178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753" w:type="dxa"/>
            <w:vAlign w:val="center"/>
          </w:tcPr>
          <w:p>
            <w:pPr>
              <w:pStyle w:val="3"/>
              <w:jc w:val="center"/>
              <w:rPr>
                <w:rFonts w:hAnsi="宋体" w:cs="Times New Roman"/>
              </w:rPr>
            </w:pPr>
            <w:r>
              <w:rPr>
                <w:rFonts w:hint="eastAsia" w:hAnsi="宋体"/>
              </w:rPr>
              <w:t>项号</w:t>
            </w:r>
          </w:p>
        </w:tc>
        <w:tc>
          <w:tcPr>
            <w:tcW w:w="1200" w:type="dxa"/>
            <w:vAlign w:val="center"/>
          </w:tcPr>
          <w:p>
            <w:pPr>
              <w:pStyle w:val="3"/>
              <w:jc w:val="center"/>
              <w:rPr>
                <w:rFonts w:hAnsi="宋体" w:cs="Times New Roman"/>
              </w:rPr>
            </w:pPr>
            <w:r>
              <w:rPr>
                <w:rFonts w:hint="eastAsia" w:hAnsi="宋体"/>
              </w:rPr>
              <w:t>服务名称</w:t>
            </w:r>
          </w:p>
        </w:tc>
        <w:tc>
          <w:tcPr>
            <w:tcW w:w="2970" w:type="dxa"/>
            <w:vAlign w:val="center"/>
          </w:tcPr>
          <w:p>
            <w:pPr>
              <w:pStyle w:val="3"/>
              <w:jc w:val="center"/>
              <w:rPr>
                <w:rFonts w:hAnsi="宋体" w:cs="Times New Roman"/>
              </w:rPr>
            </w:pPr>
            <w:r>
              <w:rPr>
                <w:rFonts w:hint="eastAsia" w:hAnsi="宋体"/>
              </w:rPr>
              <w:t>服务内容</w:t>
            </w:r>
          </w:p>
        </w:tc>
        <w:tc>
          <w:tcPr>
            <w:tcW w:w="1005" w:type="dxa"/>
            <w:vAlign w:val="center"/>
          </w:tcPr>
          <w:p>
            <w:pPr>
              <w:pStyle w:val="3"/>
              <w:jc w:val="center"/>
              <w:rPr>
                <w:rFonts w:hAnsi="宋体" w:cs="Times New Roman"/>
              </w:rPr>
            </w:pPr>
            <w:r>
              <w:rPr>
                <w:rFonts w:hint="eastAsia" w:hAnsi="宋体"/>
              </w:rPr>
              <w:t>数量</w:t>
            </w:r>
          </w:p>
          <w:p>
            <w:pPr>
              <w:pStyle w:val="3"/>
              <w:jc w:val="center"/>
              <w:rPr>
                <w:rFonts w:hAnsi="宋体" w:cs="Times New Roman"/>
              </w:rPr>
            </w:pPr>
            <w:r>
              <w:rPr>
                <w:rFonts w:hint="eastAsia" w:hAnsi="宋体"/>
              </w:rPr>
              <w:t>①</w:t>
            </w:r>
          </w:p>
        </w:tc>
        <w:tc>
          <w:tcPr>
            <w:tcW w:w="1365" w:type="dxa"/>
            <w:vAlign w:val="center"/>
          </w:tcPr>
          <w:p>
            <w:pPr>
              <w:pStyle w:val="3"/>
              <w:jc w:val="center"/>
              <w:rPr>
                <w:rFonts w:hAnsi="宋体" w:cs="Times New Roman"/>
              </w:rPr>
            </w:pPr>
            <w:r>
              <w:rPr>
                <w:rFonts w:hint="eastAsia" w:hAnsi="宋体"/>
              </w:rPr>
              <w:t>单价（元）</w:t>
            </w:r>
          </w:p>
          <w:p>
            <w:pPr>
              <w:pStyle w:val="3"/>
              <w:jc w:val="center"/>
              <w:rPr>
                <w:rFonts w:hAnsi="宋体" w:cs="Times New Roman"/>
              </w:rPr>
            </w:pPr>
            <w:r>
              <w:rPr>
                <w:rFonts w:hint="eastAsia" w:hAnsi="宋体"/>
              </w:rPr>
              <w:t>②</w:t>
            </w:r>
          </w:p>
        </w:tc>
        <w:tc>
          <w:tcPr>
            <w:tcW w:w="1785" w:type="dxa"/>
            <w:vAlign w:val="center"/>
          </w:tcPr>
          <w:p>
            <w:pPr>
              <w:pStyle w:val="3"/>
              <w:jc w:val="center"/>
              <w:rPr>
                <w:rFonts w:hAnsi="宋体" w:cs="Times New Roman"/>
              </w:rPr>
            </w:pPr>
            <w:r>
              <w:rPr>
                <w:rFonts w:hint="eastAsia" w:hAnsi="宋体"/>
              </w:rPr>
              <w:t>单项合价（元）</w:t>
            </w:r>
          </w:p>
          <w:p>
            <w:pPr>
              <w:pStyle w:val="3"/>
              <w:jc w:val="center"/>
              <w:rPr>
                <w:rFonts w:hAnsi="宋体" w:cs="Times New Roman"/>
              </w:rPr>
            </w:pPr>
            <w:r>
              <w:rPr>
                <w:rFonts w:hint="eastAsia" w:hAnsi="宋体"/>
              </w:rPr>
              <w:t>③</w:t>
            </w:r>
            <w:r>
              <w:rPr>
                <w:rFonts w:hAnsi="宋体"/>
              </w:rPr>
              <w:t>=</w:t>
            </w:r>
            <w:r>
              <w:rPr>
                <w:rFonts w:hint="eastAsia" w:hAnsi="宋体"/>
              </w:rPr>
              <w:t>①×②</w:t>
            </w:r>
          </w:p>
        </w:tc>
        <w:tc>
          <w:tcPr>
            <w:tcW w:w="855" w:type="dxa"/>
            <w:vAlign w:val="center"/>
          </w:tcPr>
          <w:p>
            <w:pPr>
              <w:pStyle w:val="3"/>
              <w:jc w:val="center"/>
              <w:rPr>
                <w:rFonts w:hAnsi="宋体" w:cs="Times New Roman"/>
              </w:rPr>
            </w:pPr>
            <w:r>
              <w:rPr>
                <w:rFonts w:hint="eastAsia" w:hAnsi="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ind w:firstLine="210" w:firstLineChars="100"/>
              <w:rPr>
                <w:rFonts w:hAnsi="宋体" w:cs="Times New Roman"/>
              </w:rPr>
            </w:pPr>
          </w:p>
          <w:p>
            <w:pPr>
              <w:pStyle w:val="3"/>
              <w:ind w:firstLine="210" w:firstLineChars="100"/>
              <w:rPr>
                <w:rFonts w:hAnsi="宋体" w:cs="Times New Roman"/>
              </w:rPr>
            </w:pPr>
          </w:p>
          <w:p>
            <w:pPr>
              <w:pStyle w:val="3"/>
              <w:ind w:firstLine="210" w:firstLineChars="100"/>
              <w:rPr>
                <w:rFonts w:hAnsi="宋体" w:cs="Times New Roman"/>
              </w:rPr>
            </w:pPr>
          </w:p>
          <w:p>
            <w:pPr>
              <w:pStyle w:val="3"/>
              <w:ind w:firstLine="210" w:firstLineChars="100"/>
              <w:rPr>
                <w:rFonts w:hAnsi="宋体" w:cs="Times New Roman"/>
              </w:rPr>
            </w:pPr>
          </w:p>
          <w:p>
            <w:pPr>
              <w:pStyle w:val="3"/>
              <w:ind w:firstLine="210" w:firstLineChars="100"/>
              <w:rPr>
                <w:rFonts w:hAnsi="宋体"/>
              </w:rPr>
            </w:pPr>
            <w:r>
              <w:rPr>
                <w:rFonts w:hAnsi="宋体"/>
              </w:rPr>
              <w:t>1</w:t>
            </w:r>
          </w:p>
        </w:tc>
        <w:tc>
          <w:tcPr>
            <w:tcW w:w="1200" w:type="dxa"/>
          </w:tcPr>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cs="Times New Roman"/>
              </w:rPr>
            </w:pPr>
          </w:p>
          <w:p>
            <w:pPr>
              <w:pStyle w:val="3"/>
              <w:rPr>
                <w:rFonts w:hAnsi="宋体" w:cs="Times New Roman"/>
              </w:rPr>
            </w:pPr>
            <w:r>
              <w:rPr>
                <w:rFonts w:hint="eastAsia" w:hAnsi="宋体" w:cs="Times New Roman"/>
              </w:rPr>
              <w:t>南宁中心血站2020年度财务收支专项审计服务</w:t>
            </w:r>
          </w:p>
        </w:tc>
        <w:tc>
          <w:tcPr>
            <w:tcW w:w="2970" w:type="dxa"/>
          </w:tcPr>
          <w:p>
            <w:pPr>
              <w:pStyle w:val="2"/>
            </w:pPr>
            <w:r>
              <w:rPr>
                <w:rFonts w:hint="eastAsia"/>
              </w:rPr>
              <w:t>一、项目服务内容：</w:t>
            </w:r>
          </w:p>
          <w:p>
            <w:pPr>
              <w:pStyle w:val="2"/>
            </w:pPr>
            <w:r>
              <w:rPr>
                <w:rFonts w:hint="eastAsia"/>
              </w:rPr>
              <w:t>1、对2020年度预算编制执行和财务收支有关业务活动的真实、合法和效益情况。</w:t>
            </w:r>
          </w:p>
          <w:p>
            <w:pPr>
              <w:pStyle w:val="2"/>
            </w:pPr>
            <w:r>
              <w:rPr>
                <w:rFonts w:hint="eastAsia"/>
              </w:rPr>
              <w:t>2、管理使用中央、自治区财政专项资金情况（包括项目绩效目标管理情况）。</w:t>
            </w:r>
          </w:p>
          <w:p>
            <w:pPr>
              <w:pStyle w:val="2"/>
            </w:pPr>
            <w:r>
              <w:rPr>
                <w:rFonts w:hint="eastAsia"/>
              </w:rPr>
              <w:t>3、“三公”经费、培训费、会议费管理使用情况。</w:t>
            </w:r>
          </w:p>
          <w:p>
            <w:pPr>
              <w:pStyle w:val="2"/>
            </w:pPr>
            <w:r>
              <w:rPr>
                <w:rFonts w:hint="eastAsia"/>
              </w:rPr>
              <w:t>4、国有资产的采购、管理、使用和处置情况。</w:t>
            </w:r>
          </w:p>
          <w:p>
            <w:pPr>
              <w:pStyle w:val="2"/>
            </w:pPr>
            <w:r>
              <w:rPr>
                <w:rFonts w:hint="eastAsia"/>
              </w:rPr>
              <w:t>5、单位财务管理、业务管理、内部控制、会计基础工作规范管理等内部管理制度的制定与执行情况。</w:t>
            </w:r>
          </w:p>
          <w:p>
            <w:pPr>
              <w:pStyle w:val="2"/>
            </w:pPr>
            <w:r>
              <w:rPr>
                <w:rFonts w:hint="eastAsia"/>
              </w:rPr>
              <w:t>6、单位重大经营决策情况。</w:t>
            </w:r>
          </w:p>
          <w:p>
            <w:pPr>
              <w:pStyle w:val="2"/>
            </w:pPr>
            <w:r>
              <w:rPr>
                <w:rFonts w:hint="eastAsia"/>
              </w:rPr>
              <w:t>7、风险管理、合同管理和项目招标管理等情况。</w:t>
            </w:r>
          </w:p>
          <w:p>
            <w:pPr>
              <w:pStyle w:val="2"/>
            </w:pPr>
            <w:r>
              <w:rPr>
                <w:rFonts w:hint="eastAsia"/>
              </w:rPr>
              <w:t>8、重要项目的投资、建设和管理情况。</w:t>
            </w:r>
          </w:p>
          <w:p>
            <w:pPr>
              <w:pStyle w:val="2"/>
            </w:pPr>
            <w:r>
              <w:rPr>
                <w:rFonts w:hint="eastAsia"/>
              </w:rPr>
              <w:t>9、车辆运行管理情况。</w:t>
            </w:r>
          </w:p>
          <w:p>
            <w:pPr>
              <w:pStyle w:val="2"/>
            </w:pPr>
            <w:r>
              <w:rPr>
                <w:rFonts w:hint="eastAsia"/>
              </w:rPr>
              <w:t>二、提交服务成果要求：</w:t>
            </w:r>
          </w:p>
          <w:p>
            <w:pPr>
              <w:pStyle w:val="2"/>
            </w:pPr>
            <w:r>
              <w:rPr>
                <w:rFonts w:hint="eastAsia"/>
              </w:rPr>
              <w:t>1、审计内容和审计报告要反映的内容包含且不限于项目服务内容上面的9点要求，审计重点审核资金使用效益，内控制度评价，重大决策和招标管理等情况。</w:t>
            </w:r>
          </w:p>
          <w:p>
            <w:pPr>
              <w:pStyle w:val="2"/>
            </w:pPr>
            <w:r>
              <w:rPr>
                <w:rFonts w:hint="eastAsia"/>
              </w:rPr>
              <w:t>2、根据审计情况，出具的审计报告要求核实财务收支及负债情况，全面反映财务收支及相关经济活动真实性、合法性及重大经济项目的决策、实施和支出效益情况，以及内控制度的执行情况。揭露会计信息、资产质量、重大经济决策等方面的违规、违纪甚至违法行为和可能发生的潜在风险。审计报告须明确指出本单位经济活动存在的问题，漏洞和风险，并提出合理化建议。</w:t>
            </w:r>
          </w:p>
          <w:p>
            <w:pPr>
              <w:pStyle w:val="2"/>
            </w:pPr>
            <w:r>
              <w:rPr>
                <w:rFonts w:hint="eastAsia"/>
              </w:rPr>
              <w:t>3、审计现场具有专业资质的人员不少于2人，驻点时间2周以上，至少有一名注册会计师驻点。</w:t>
            </w:r>
          </w:p>
          <w:p>
            <w:pPr>
              <w:pStyle w:val="2"/>
            </w:pPr>
            <w:r>
              <w:rPr>
                <w:rFonts w:hint="eastAsia"/>
              </w:rPr>
              <w:t>4、出具的审计报告要求经过注册会计师审核通过。</w:t>
            </w:r>
          </w:p>
          <w:p>
            <w:pPr>
              <w:pStyle w:val="2"/>
            </w:pPr>
            <w:r>
              <w:rPr>
                <w:rFonts w:hint="eastAsia"/>
              </w:rPr>
              <w:t>三、质量要求：</w:t>
            </w:r>
          </w:p>
          <w:p>
            <w:pPr>
              <w:pStyle w:val="2"/>
            </w:pPr>
            <w:r>
              <w:rPr>
                <w:rFonts w:hint="eastAsia"/>
              </w:rPr>
              <w:t>1、对部门审计的技术依据主要是《政府会计制度》、《事业单位财务制度》、《国有建设单位会计制度》等；部门预算管理、内部控制、政府采购等财政管理规定；国家有关事业单位的法律法规和财务规定等。</w:t>
            </w:r>
          </w:p>
          <w:p>
            <w:pPr>
              <w:spacing w:line="276" w:lineRule="auto"/>
              <w:rPr>
                <w:rFonts w:hint="default" w:ascii="宋体" w:eastAsia="宋体" w:cs="Times New Roman"/>
                <w:lang w:val="en-US" w:eastAsia="zh-CN"/>
              </w:rPr>
            </w:pPr>
            <w:r>
              <w:rPr>
                <w:rFonts w:hint="eastAsia"/>
              </w:rPr>
              <w:t>2、审计过程和审计报告除应符合《中国注册会计师执业准则》的要求外，还需符合《中国内部审计准则》的要求。</w:t>
            </w:r>
          </w:p>
        </w:tc>
        <w:tc>
          <w:tcPr>
            <w:tcW w:w="1005" w:type="dxa"/>
          </w:tcPr>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ind w:firstLine="210" w:firstLineChars="100"/>
              <w:rPr>
                <w:rFonts w:hAnsi="宋体" w:cs="Times New Roman"/>
              </w:rPr>
            </w:pPr>
          </w:p>
          <w:p>
            <w:pPr>
              <w:pStyle w:val="3"/>
              <w:ind w:firstLine="210" w:firstLineChars="100"/>
              <w:rPr>
                <w:rFonts w:hAnsi="宋体" w:cs="Times New Roman"/>
              </w:rPr>
            </w:pPr>
          </w:p>
          <w:p>
            <w:pPr>
              <w:pStyle w:val="3"/>
              <w:ind w:firstLine="210" w:firstLineChars="100"/>
              <w:rPr>
                <w:rFonts w:hAnsi="宋体" w:cs="Times New Roman"/>
              </w:rPr>
            </w:pPr>
            <w:r>
              <w:rPr>
                <w:rFonts w:hAnsi="宋体"/>
              </w:rPr>
              <w:t>1</w:t>
            </w:r>
            <w:r>
              <w:rPr>
                <w:rFonts w:hint="eastAsia" w:hAnsi="宋体"/>
              </w:rPr>
              <w:t>项</w:t>
            </w:r>
          </w:p>
        </w:tc>
        <w:tc>
          <w:tcPr>
            <w:tcW w:w="1365" w:type="dxa"/>
          </w:tcPr>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p>
            <w:pPr>
              <w:pStyle w:val="3"/>
              <w:rPr>
                <w:rFonts w:hAnsi="宋体" w:cs="Times New Roman"/>
              </w:rPr>
            </w:pPr>
          </w:p>
        </w:tc>
        <w:tc>
          <w:tcPr>
            <w:tcW w:w="1785" w:type="dxa"/>
          </w:tcPr>
          <w:p>
            <w:pPr>
              <w:pStyle w:val="3"/>
              <w:rPr>
                <w:rFonts w:hAnsi="宋体" w:cs="Times New Roman"/>
              </w:rPr>
            </w:pPr>
          </w:p>
        </w:tc>
        <w:tc>
          <w:tcPr>
            <w:tcW w:w="855" w:type="dxa"/>
          </w:tcPr>
          <w:p>
            <w:pPr>
              <w:pStyle w:val="3"/>
              <w:rPr>
                <w:rFonts w:hAnsi="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933" w:type="dxa"/>
            <w:gridSpan w:val="7"/>
            <w:vAlign w:val="center"/>
          </w:tcPr>
          <w:p>
            <w:pPr>
              <w:pStyle w:val="3"/>
              <w:jc w:val="left"/>
              <w:rPr>
                <w:rFonts w:hAnsi="宋体" w:cs="Times New Roman"/>
              </w:rPr>
            </w:pPr>
            <w:r>
              <w:rPr>
                <w:rFonts w:hint="eastAsia" w:hAnsi="宋体"/>
              </w:rPr>
              <w:t>报价合计（包含税费等所有费用）：（大写）人民币</w:t>
            </w:r>
            <w:r>
              <w:rPr>
                <w:rFonts w:hAnsi="宋体"/>
                <w:u w:val="single"/>
              </w:rPr>
              <w:t xml:space="preserve">      </w:t>
            </w:r>
            <w:r>
              <w:rPr>
                <w:rFonts w:hint="eastAsia" w:hAnsi="宋体"/>
              </w:rPr>
              <w:t>（￥</w:t>
            </w:r>
            <w:r>
              <w:rPr>
                <w:rFonts w:hAnsi="宋体"/>
                <w:u w:val="single"/>
              </w:rPr>
              <w:t xml:space="preserve">        </w:t>
            </w:r>
            <w:r>
              <w:rPr>
                <w:rFonts w:hint="eastAsia" w:hAnsi="宋体"/>
              </w:rPr>
              <w:t>元）</w:t>
            </w:r>
          </w:p>
        </w:tc>
      </w:tr>
    </w:tbl>
    <w:p>
      <w:pPr>
        <w:pStyle w:val="3"/>
        <w:rPr>
          <w:rFonts w:cs="Times New Roman"/>
        </w:rPr>
      </w:pPr>
    </w:p>
    <w:p>
      <w:pPr>
        <w:pStyle w:val="3"/>
        <w:spacing w:line="600" w:lineRule="exact"/>
        <w:rPr>
          <w:rFonts w:cs="Times New Roman"/>
          <w:u w:val="single"/>
        </w:rPr>
      </w:pPr>
      <w:r>
        <w:rPr>
          <w:rFonts w:hint="eastAsia" w:hAnsi="宋体"/>
        </w:rPr>
        <w:t>报价人（盖单位公章）：</w:t>
      </w:r>
      <w:r>
        <w:rPr>
          <w:rFonts w:hAnsi="宋体"/>
          <w:u w:val="single"/>
        </w:rPr>
        <w:t xml:space="preserve">                                    </w:t>
      </w:r>
    </w:p>
    <w:p>
      <w:pPr>
        <w:pStyle w:val="3"/>
        <w:spacing w:line="600" w:lineRule="exact"/>
        <w:rPr>
          <w:rFonts w:cs="Times New Roman"/>
          <w:u w:val="single"/>
        </w:rPr>
      </w:pPr>
    </w:p>
    <w:p>
      <w:pPr>
        <w:pStyle w:val="3"/>
        <w:spacing w:line="500" w:lineRule="exact"/>
        <w:rPr>
          <w:rFonts w:cs="Times New Roman"/>
          <w:u w:val="single"/>
        </w:rPr>
      </w:pPr>
      <w:r>
        <w:rPr>
          <w:rFonts w:hint="eastAsia" w:hAnsi="宋体"/>
        </w:rPr>
        <w:t>法定代表人或其委托代理人（签字或盖章）：</w:t>
      </w:r>
      <w:r>
        <w:rPr>
          <w:rFonts w:hAnsi="宋体"/>
          <w:u w:val="single"/>
        </w:rPr>
        <w:t xml:space="preserve">                  </w:t>
      </w:r>
    </w:p>
    <w:p>
      <w:pPr>
        <w:pStyle w:val="3"/>
        <w:spacing w:line="440" w:lineRule="exact"/>
        <w:rPr>
          <w:rFonts w:ascii="仿宋_GB2312" w:hAnsi="宋体" w:eastAsia="仿宋_GB2312" w:cs="Times New Roman"/>
          <w:color w:val="000000"/>
          <w:spacing w:val="15"/>
          <w:sz w:val="32"/>
          <w:szCs w:val="32"/>
          <w:shd w:val="clear" w:color="auto" w:fill="FFFFFF"/>
        </w:rPr>
      </w:pPr>
      <w:r>
        <w:rPr>
          <w:rFonts w:hint="eastAsia" w:hAnsi="宋体"/>
        </w:rPr>
        <w:t>注：表格内容均需按要求填写并盖章，不得留空，否则按报价无效处理。</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joinstyle="miter"/>
              <v:imagedata o:title=""/>
              <o:lock v:ext="edit"/>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7A6FE7"/>
    <w:rsid w:val="757A6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3">
    <w:name w:val="Plain Text"/>
    <w:basedOn w:val="1"/>
    <w:qFormat/>
    <w:uiPriority w:val="99"/>
    <w:rPr>
      <w:rFonts w:ascii="宋体" w:hAnsi="Courier New" w:cs="宋体"/>
    </w:rPr>
  </w:style>
  <w:style w:type="paragraph" w:styleId="4">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2021-03-12T00:20:00Z</dcterms:created>
  <dc:creator>WPS</dc:creator>
  <cp:lastModifiedBy>WPS</cp:lastModifiedBy>
  <dcterms:modified xsi:type="dcterms:W3CDTF">2021-03-12T00:21:06Z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