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b/>
          <w:bCs/>
          <w:sz w:val="32"/>
          <w:szCs w:val="32"/>
        </w:rPr>
      </w:pPr>
      <w:r>
        <w:rPr>
          <w:rFonts w:hint="eastAsia"/>
          <w:b/>
          <w:bCs/>
          <w:sz w:val="32"/>
          <w:szCs w:val="32"/>
        </w:rPr>
        <w:t>附件</w:t>
      </w:r>
      <w:r>
        <w:rPr>
          <w:b/>
          <w:bCs/>
          <w:sz w:val="32"/>
          <w:szCs w:val="32"/>
        </w:rPr>
        <w:t>1</w:t>
      </w:r>
    </w:p>
    <w:p>
      <w:pPr>
        <w:pStyle w:val="3"/>
        <w:jc w:val="center"/>
        <w:rPr>
          <w:rFonts w:cs="Times New Roman"/>
          <w:b/>
          <w:bCs/>
          <w:sz w:val="32"/>
          <w:szCs w:val="32"/>
        </w:rPr>
      </w:pPr>
      <w:bookmarkStart w:id="0" w:name="_GoBack"/>
      <w:r>
        <w:rPr>
          <w:rFonts w:hint="eastAsia"/>
          <w:b/>
          <w:bCs/>
          <w:sz w:val="32"/>
          <w:szCs w:val="32"/>
        </w:rPr>
        <w:t>服务需求一览表</w:t>
      </w:r>
    </w:p>
    <w:bookmarkEnd w:id="0"/>
    <w:p>
      <w:pPr>
        <w:pStyle w:val="3"/>
        <w:ind w:firstLine="210" w:firstLineChars="100"/>
        <w:rPr>
          <w:rFonts w:cs="Times New Roman"/>
        </w:rPr>
      </w:pPr>
      <w:r>
        <w:rPr>
          <w:rFonts w:hAnsi="宋体"/>
        </w:rPr>
        <w:t xml:space="preserve"> </w:t>
      </w:r>
    </w:p>
    <w:tbl>
      <w:tblPr>
        <w:tblStyle w:val="4"/>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数量</w:t>
            </w:r>
          </w:p>
        </w:tc>
        <w:tc>
          <w:tcPr>
            <w:tcW w:w="8368"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南宁中心血站业务大楼电梯维保服务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1</w:t>
            </w:r>
            <w:r>
              <w:rPr>
                <w:rFonts w:hint="eastAsia" w:ascii="宋体" w:hAnsi="宋体" w:cs="宋体"/>
              </w:rPr>
              <w:t>项</w:t>
            </w:r>
          </w:p>
        </w:tc>
        <w:tc>
          <w:tcPr>
            <w:tcW w:w="8368" w:type="dxa"/>
            <w:tcBorders>
              <w:top w:val="single" w:color="auto" w:sz="4" w:space="0"/>
              <w:left w:val="single" w:color="auto" w:sz="4" w:space="0"/>
              <w:bottom w:val="single" w:color="auto" w:sz="4" w:space="0"/>
            </w:tcBorders>
            <w:vAlign w:val="center"/>
          </w:tcPr>
          <w:p>
            <w:pPr>
              <w:numPr>
                <w:ilvl w:val="0"/>
                <w:numId w:val="1"/>
              </w:numPr>
              <w:snapToGrid w:val="0"/>
              <w:spacing w:line="460" w:lineRule="exact"/>
              <w:rPr>
                <w:rFonts w:ascii="宋体" w:hAnsi="宋体"/>
                <w:snapToGrid w:val="0"/>
              </w:rPr>
            </w:pPr>
            <w:r>
              <w:rPr>
                <w:rFonts w:hint="eastAsia" w:ascii="宋体" w:hAnsi="宋体"/>
                <w:snapToGrid w:val="0"/>
              </w:rPr>
              <w:t>项目情况</w:t>
            </w:r>
          </w:p>
          <w:p>
            <w:pPr>
              <w:pStyle w:val="2"/>
              <w:numPr>
                <w:ilvl w:val="0"/>
                <w:numId w:val="2"/>
              </w:numPr>
              <w:rPr>
                <w:rFonts w:ascii="宋体" w:hAnsi="宋体"/>
                <w:snapToGrid w:val="0"/>
              </w:rPr>
            </w:pPr>
            <w:r>
              <w:rPr>
                <w:rFonts w:hint="eastAsia" w:ascii="宋体" w:hAnsi="宋体"/>
                <w:snapToGrid w:val="0"/>
              </w:rPr>
              <w:t>南宁中心血站业务大楼16楼，配有电梯（日立）两部，地处南宁市西乡塘区科园大道18号。</w:t>
            </w:r>
          </w:p>
          <w:p>
            <w:pPr>
              <w:pStyle w:val="2"/>
              <w:numPr>
                <w:ilvl w:val="0"/>
                <w:numId w:val="2"/>
              </w:numPr>
              <w:rPr>
                <w:rFonts w:ascii="宋体" w:hAnsi="宋体"/>
                <w:snapToGrid w:val="0"/>
              </w:rPr>
            </w:pPr>
            <w:r>
              <w:rPr>
                <w:rFonts w:hint="eastAsia" w:ascii="宋体" w:hAnsi="宋体"/>
                <w:snapToGrid w:val="0"/>
              </w:rPr>
              <w:t>电梯情况：</w:t>
            </w:r>
          </w:p>
          <w:p>
            <w:pPr>
              <w:pStyle w:val="2"/>
              <w:ind w:firstLine="420" w:firstLineChars="200"/>
              <w:rPr>
                <w:rFonts w:ascii="宋体" w:hAnsi="宋体"/>
                <w:snapToGrid w:val="0"/>
              </w:rPr>
            </w:pPr>
            <w:r>
              <w:rPr>
                <w:rFonts w:hint="eastAsia" w:ascii="宋体" w:hAnsi="宋体"/>
                <w:snapToGrid w:val="0"/>
              </w:rPr>
              <w:t>制造公司：日本日立公司   制造日期：2001年5月1日</w:t>
            </w:r>
          </w:p>
          <w:p>
            <w:pPr>
              <w:pStyle w:val="2"/>
              <w:ind w:firstLine="420" w:firstLineChars="200"/>
              <w:rPr>
                <w:rFonts w:ascii="宋体" w:hAnsi="宋体"/>
                <w:snapToGrid w:val="0"/>
              </w:rPr>
            </w:pPr>
            <w:r>
              <w:rPr>
                <w:rFonts w:hint="eastAsia" w:ascii="宋体" w:hAnsi="宋体"/>
                <w:snapToGrid w:val="0"/>
              </w:rPr>
              <w:t>额定载重：1000KG         额定速度:1.75M/S</w:t>
            </w:r>
          </w:p>
          <w:p>
            <w:pPr>
              <w:pStyle w:val="2"/>
              <w:ind w:firstLine="420" w:firstLineChars="200"/>
              <w:rPr>
                <w:rFonts w:ascii="宋体" w:hAnsi="宋体"/>
                <w:snapToGrid w:val="0"/>
              </w:rPr>
            </w:pPr>
            <w:r>
              <w:rPr>
                <w:rFonts w:hint="eastAsia" w:ascii="宋体" w:hAnsi="宋体"/>
                <w:snapToGrid w:val="0"/>
              </w:rPr>
              <w:t>层站数：16层16站16门   控制方式:并联控制</w:t>
            </w:r>
          </w:p>
          <w:p>
            <w:pPr>
              <w:pStyle w:val="2"/>
              <w:numPr>
                <w:ilvl w:val="0"/>
                <w:numId w:val="1"/>
              </w:numPr>
            </w:pPr>
            <w:r>
              <w:rPr>
                <w:rFonts w:hint="eastAsia"/>
              </w:rPr>
              <w:t>服务内容及相关要求</w:t>
            </w:r>
          </w:p>
          <w:p>
            <w:pPr>
              <w:spacing w:line="360" w:lineRule="auto"/>
              <w:rPr>
                <w:rFonts w:ascii="宋体" w:hAnsi="宋体"/>
                <w:kern w:val="0"/>
              </w:rPr>
            </w:pPr>
            <w:r>
              <w:rPr>
                <w:rFonts w:hint="eastAsia" w:ascii="宋体" w:hAnsi="宋体"/>
                <w:b/>
                <w:kern w:val="0"/>
              </w:rPr>
              <w:t>（一）电梯日常保养项目内容</w:t>
            </w:r>
          </w:p>
          <w:p>
            <w:pPr>
              <w:tabs>
                <w:tab w:val="left" w:pos="3510"/>
              </w:tabs>
              <w:spacing w:line="360" w:lineRule="auto"/>
              <w:ind w:firstLine="420" w:firstLineChars="200"/>
              <w:rPr>
                <w:rFonts w:ascii="宋体" w:hAnsi="宋体" w:cs="宋体"/>
                <w:kern w:val="0"/>
              </w:rPr>
            </w:pPr>
            <w:r>
              <w:rPr>
                <w:rFonts w:hint="eastAsia" w:ascii="宋体" w:hAnsi="宋体" w:cs="宋体"/>
                <w:kern w:val="0"/>
              </w:rPr>
              <w:t>每隔十五日</w:t>
            </w:r>
            <w:r>
              <w:rPr>
                <w:rFonts w:ascii="宋体" w:hAnsi="宋体" w:cs="宋体"/>
                <w:kern w:val="0"/>
              </w:rPr>
              <w:t>对电梯</w:t>
            </w:r>
            <w:r>
              <w:rPr>
                <w:rFonts w:hint="eastAsia" w:ascii="宋体" w:hAnsi="宋体" w:cs="宋体"/>
                <w:kern w:val="0"/>
              </w:rPr>
              <w:t>进行例行保养一次，具体项目内容和标准如表一。</w:t>
            </w:r>
          </w:p>
          <w:p>
            <w:pPr>
              <w:tabs>
                <w:tab w:val="left" w:pos="3510"/>
              </w:tabs>
              <w:spacing w:line="360" w:lineRule="auto"/>
              <w:rPr>
                <w:rFonts w:ascii="宋体" w:hAnsi="宋体"/>
                <w:b/>
              </w:rPr>
            </w:pPr>
            <w:r>
              <w:rPr>
                <w:rFonts w:hint="eastAsia" w:ascii="宋体" w:hAnsi="宋体" w:cs="宋体"/>
                <w:b/>
                <w:bCs/>
                <w:color w:val="000000"/>
                <w:kern w:val="0"/>
              </w:rPr>
              <w:t>表一：电梯日常（半月）维保项目（内容）和标准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b/>
                      <w:kern w:val="0"/>
                    </w:rPr>
                  </w:pPr>
                  <w:r>
                    <w:rPr>
                      <w:rFonts w:hint="eastAsia" w:ascii="宋体" w:hAnsi="宋体" w:cs="宋体"/>
                      <w:b/>
                      <w:kern w:val="0"/>
                    </w:rPr>
                    <w:t>序号</w:t>
                  </w:r>
                </w:p>
              </w:tc>
              <w:tc>
                <w:tcPr>
                  <w:tcW w:w="3420" w:type="dxa"/>
                  <w:vAlign w:val="center"/>
                </w:tcPr>
                <w:p>
                  <w:pPr>
                    <w:widowControl/>
                    <w:spacing w:line="360" w:lineRule="auto"/>
                    <w:jc w:val="center"/>
                    <w:rPr>
                      <w:rFonts w:ascii="宋体" w:hAnsi="宋体" w:cs="宋体"/>
                      <w:b/>
                      <w:kern w:val="0"/>
                    </w:rPr>
                  </w:pPr>
                  <w:r>
                    <w:rPr>
                      <w:rFonts w:hint="eastAsia" w:ascii="宋体" w:hAnsi="宋体" w:cs="宋体"/>
                      <w:b/>
                      <w:kern w:val="0"/>
                    </w:rPr>
                    <w:t>维保项目（内容）</w:t>
                  </w:r>
                </w:p>
              </w:tc>
              <w:tc>
                <w:tcPr>
                  <w:tcW w:w="3769" w:type="dxa"/>
                  <w:vAlign w:val="center"/>
                </w:tcPr>
                <w:p>
                  <w:pPr>
                    <w:widowControl/>
                    <w:spacing w:line="360" w:lineRule="auto"/>
                    <w:jc w:val="center"/>
                    <w:rPr>
                      <w:rFonts w:ascii="宋体" w:hAnsi="宋体" w:cs="宋体"/>
                      <w:b/>
                      <w:kern w:val="0"/>
                    </w:rPr>
                  </w:pPr>
                  <w:r>
                    <w:rPr>
                      <w:rFonts w:hint="eastAsia" w:ascii="宋体" w:hAnsi="宋体" w:cs="宋体"/>
                      <w:b/>
                      <w:kern w:val="0"/>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1</w:t>
                  </w:r>
                </w:p>
              </w:tc>
              <w:tc>
                <w:tcPr>
                  <w:tcW w:w="3420" w:type="dxa"/>
                  <w:vAlign w:val="center"/>
                </w:tcPr>
                <w:p>
                  <w:pPr>
                    <w:widowControl/>
                    <w:spacing w:line="360" w:lineRule="auto"/>
                    <w:rPr>
                      <w:rFonts w:ascii="宋体" w:hAnsi="宋体" w:cs="宋体"/>
                      <w:color w:val="000000"/>
                      <w:kern w:val="0"/>
                    </w:rPr>
                  </w:pPr>
                  <w:r>
                    <w:rPr>
                      <w:rFonts w:hint="eastAsia" w:ascii="宋体" w:hAnsi="宋体" w:cs="宋体"/>
                      <w:color w:val="000000"/>
                      <w:kern w:val="0"/>
                    </w:rPr>
                    <w:t>机房、主机、滑轮间、轿顶环境</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机房内干净整洁无杂物、机件配电柜无灰尘、锈迹、油渍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电梯运行</w:t>
                  </w:r>
                  <w:r>
                    <w:rPr>
                      <w:rFonts w:hint="eastAsia" w:ascii="宋体" w:hAnsi="宋体"/>
                    </w:rPr>
                    <w:t>舒适感、有无杂音</w:t>
                  </w:r>
                </w:p>
              </w:tc>
              <w:tc>
                <w:tcPr>
                  <w:tcW w:w="3769" w:type="dxa"/>
                  <w:vAlign w:val="center"/>
                </w:tcPr>
                <w:p>
                  <w:pPr>
                    <w:widowControl/>
                    <w:spacing w:line="360" w:lineRule="auto"/>
                    <w:rPr>
                      <w:rFonts w:ascii="宋体" w:hAnsi="宋体" w:cs="宋体"/>
                      <w:kern w:val="0"/>
                    </w:rPr>
                  </w:pPr>
                  <w:r>
                    <w:rPr>
                      <w:rFonts w:hint="eastAsia" w:ascii="宋体" w:hAnsi="宋体"/>
                    </w:rPr>
                    <w:t>运行平稳、舒适、无杂音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手动紧急操作装置</w:t>
                  </w:r>
                </w:p>
              </w:tc>
              <w:tc>
                <w:tcPr>
                  <w:tcW w:w="3769" w:type="dxa"/>
                  <w:vAlign w:val="center"/>
                </w:tcPr>
                <w:p>
                  <w:pPr>
                    <w:widowControl/>
                    <w:spacing w:line="360" w:lineRule="auto"/>
                    <w:rPr>
                      <w:rFonts w:ascii="宋体" w:hAnsi="宋体" w:cs="宋体"/>
                      <w:kern w:val="0"/>
                    </w:rPr>
                  </w:pPr>
                  <w:r>
                    <w:rPr>
                      <w:rFonts w:hint="eastAsia" w:ascii="宋体" w:hAnsi="宋体" w:cs="宋体"/>
                      <w:kern w:val="0"/>
                    </w:rPr>
                    <w:t>齐全、无缺失，在指定位置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曳引机</w:t>
                  </w:r>
                </w:p>
              </w:tc>
              <w:tc>
                <w:tcPr>
                  <w:tcW w:w="3769" w:type="dxa"/>
                  <w:vAlign w:val="center"/>
                </w:tcPr>
                <w:p>
                  <w:pPr>
                    <w:widowControl/>
                    <w:spacing w:line="360" w:lineRule="auto"/>
                    <w:rPr>
                      <w:rFonts w:ascii="宋体" w:hAnsi="宋体" w:cs="宋体"/>
                      <w:strike/>
                      <w:kern w:val="0"/>
                    </w:rPr>
                  </w:pPr>
                  <w:r>
                    <w:rPr>
                      <w:rFonts w:hint="eastAsia" w:ascii="宋体" w:hAnsi="宋体" w:cs="宋体"/>
                      <w:kern w:val="0"/>
                    </w:rPr>
                    <w:t>运行时无异常振动和异常声响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5</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制动器及其各销轴部位</w:t>
                  </w:r>
                </w:p>
              </w:tc>
              <w:tc>
                <w:tcPr>
                  <w:tcW w:w="3769" w:type="dxa"/>
                  <w:vAlign w:val="center"/>
                </w:tcPr>
                <w:p>
                  <w:pPr>
                    <w:widowControl/>
                    <w:spacing w:line="360" w:lineRule="auto"/>
                    <w:rPr>
                      <w:rFonts w:ascii="宋体" w:hAnsi="宋体" w:cs="宋体"/>
                      <w:kern w:val="0"/>
                    </w:rPr>
                  </w:pPr>
                  <w:r>
                    <w:rPr>
                      <w:rFonts w:hint="eastAsia" w:ascii="宋体" w:hAnsi="宋体" w:cs="宋体"/>
                      <w:kern w:val="0"/>
                    </w:rPr>
                    <w:t xml:space="preserve">动作可靠，有足够的制动力；各销轴润滑，灵活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6</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制动器间隙</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打开时制动衬与制动轮不应发生摩擦，制动衬磨损量不应大于原厚度1/3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7</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控制柜内各元器件</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应整洁，各仪表指示（显示）正确，各接线应坚固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8</w:t>
                  </w:r>
                </w:p>
              </w:tc>
              <w:tc>
                <w:tcPr>
                  <w:tcW w:w="3420" w:type="dxa"/>
                  <w:vAlign w:val="center"/>
                </w:tcPr>
                <w:p>
                  <w:pPr>
                    <w:widowControl/>
                    <w:spacing w:line="360" w:lineRule="auto"/>
                    <w:rPr>
                      <w:rFonts w:ascii="宋体" w:hAnsi="宋体" w:cs="宋体"/>
                      <w:kern w:val="0"/>
                    </w:rPr>
                  </w:pPr>
                  <w:r>
                    <w:rPr>
                      <w:rFonts w:hint="eastAsia" w:ascii="宋体" w:hAnsi="宋体" w:cs="宋体"/>
                      <w:kern w:val="0"/>
                    </w:rPr>
                    <w:t>电动机运行情况</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平稳无振动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eastAsia="宋体" w:cs="宋体"/>
                      <w:kern w:val="0"/>
                      <w:sz w:val="21"/>
                      <w:szCs w:val="21"/>
                      <w:lang w:val="en-US" w:eastAsia="zh-CN" w:bidi="ar-SA"/>
                    </w:rPr>
                  </w:pPr>
                  <w:r>
                    <w:rPr>
                      <w:rFonts w:hint="eastAsia" w:ascii="宋体" w:hAnsi="宋体" w:cs="宋体"/>
                      <w:kern w:val="0"/>
                    </w:rPr>
                    <w:t>9</w:t>
                  </w:r>
                </w:p>
              </w:tc>
              <w:tc>
                <w:tcPr>
                  <w:tcW w:w="3420" w:type="dxa"/>
                  <w:vAlign w:val="center"/>
                </w:tcPr>
                <w:p>
                  <w:pPr>
                    <w:widowControl/>
                    <w:spacing w:line="360" w:lineRule="auto"/>
                    <w:rPr>
                      <w:rFonts w:ascii="宋体" w:hAnsi="宋体" w:cs="宋体"/>
                      <w:kern w:val="0"/>
                    </w:rPr>
                  </w:pPr>
                  <w:r>
                    <w:rPr>
                      <w:rFonts w:hint="eastAsia" w:ascii="宋体" w:hAnsi="宋体" w:cs="宋体"/>
                      <w:kern w:val="0"/>
                    </w:rPr>
                    <w:t>编码器</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清洁，安装牢固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限速器各销轴部位</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润滑，转动灵活；电气开关正常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轿顶</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清洁，防护栏安全可靠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对重块及其压板</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对重块无松动，压板紧固。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井道照明</w:t>
                  </w:r>
                </w:p>
              </w:tc>
              <w:tc>
                <w:tcPr>
                  <w:tcW w:w="3769" w:type="dxa"/>
                  <w:vAlign w:val="center"/>
                </w:tcPr>
                <w:p>
                  <w:pPr>
                    <w:widowControl/>
                    <w:spacing w:line="360" w:lineRule="auto"/>
                    <w:rPr>
                      <w:rFonts w:ascii="宋体" w:hAnsi="宋体" w:cs="宋体"/>
                      <w:kern w:val="0"/>
                    </w:rPr>
                  </w:pPr>
                  <w:r>
                    <w:rPr>
                      <w:rFonts w:hint="eastAsia" w:ascii="宋体" w:hAnsi="宋体" w:cs="宋体"/>
                      <w:kern w:val="0"/>
                    </w:rPr>
                    <w:t>齐全、正常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轿厢照明、风扇、应急照明</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轿厢检修开关、急停开关</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导靴上油杯</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吸油毛毡齐全，油量适宜，油杯无泄漏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轿内报警装置、对讲系统</w:t>
                  </w:r>
                </w:p>
              </w:tc>
              <w:tc>
                <w:tcPr>
                  <w:tcW w:w="3769" w:type="dxa"/>
                  <w:vAlign w:val="center"/>
                </w:tcPr>
                <w:p>
                  <w:pPr>
                    <w:widowControl/>
                    <w:spacing w:line="360" w:lineRule="auto"/>
                    <w:rPr>
                      <w:rFonts w:ascii="宋体" w:hAnsi="宋体" w:cs="宋体"/>
                      <w:strike/>
                      <w:kern w:val="0"/>
                    </w:rPr>
                  </w:pPr>
                  <w:r>
                    <w:rPr>
                      <w:rFonts w:hint="eastAsia" w:ascii="宋体" w:hAnsi="宋体" w:cs="宋体"/>
                      <w:kern w:val="0"/>
                    </w:rPr>
                    <w:t>工作正常，轿内求救警铃正常有效，与消防中心通话正常。轿内与机房通话正常。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轿内显示、指令按钮</w:t>
                  </w:r>
                </w:p>
              </w:tc>
              <w:tc>
                <w:tcPr>
                  <w:tcW w:w="3769" w:type="dxa"/>
                  <w:vAlign w:val="center"/>
                </w:tcPr>
                <w:p>
                  <w:pPr>
                    <w:widowControl/>
                    <w:spacing w:line="360" w:lineRule="auto"/>
                    <w:rPr>
                      <w:rFonts w:ascii="宋体" w:hAnsi="宋体" w:cs="宋体"/>
                      <w:kern w:val="0"/>
                    </w:rPr>
                  </w:pPr>
                  <w:r>
                    <w:rPr>
                      <w:rFonts w:hint="eastAsia" w:ascii="宋体" w:hAnsi="宋体" w:cs="宋体"/>
                      <w:kern w:val="0"/>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候梯厅显示、按钮</w:t>
                  </w:r>
                </w:p>
              </w:tc>
              <w:tc>
                <w:tcPr>
                  <w:tcW w:w="3769" w:type="dxa"/>
                  <w:vAlign w:val="center"/>
                </w:tcPr>
                <w:p>
                  <w:pPr>
                    <w:widowControl/>
                    <w:spacing w:line="360" w:lineRule="auto"/>
                    <w:rPr>
                      <w:rFonts w:ascii="宋体" w:hAnsi="宋体" w:cs="宋体"/>
                      <w:kern w:val="0"/>
                    </w:rPr>
                  </w:pPr>
                  <w:r>
                    <w:rPr>
                      <w:rFonts w:hint="eastAsia" w:ascii="宋体" w:hAnsi="宋体" w:cs="宋体"/>
                      <w:kern w:val="0"/>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轿门安全装置（安全触板，光幕、光电等）</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轿门门锁电气触点</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轿门运行</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开启和关闭工作正常，灵活可靠。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轿厢平层精度</w:t>
                  </w:r>
                </w:p>
              </w:tc>
              <w:tc>
                <w:tcPr>
                  <w:tcW w:w="3769" w:type="dxa"/>
                  <w:vAlign w:val="center"/>
                </w:tcPr>
                <w:p>
                  <w:pPr>
                    <w:widowControl/>
                    <w:spacing w:line="360" w:lineRule="auto"/>
                    <w:rPr>
                      <w:rFonts w:ascii="宋体" w:hAnsi="宋体" w:cs="宋体"/>
                      <w:kern w:val="0"/>
                    </w:rPr>
                  </w:pPr>
                  <w:r>
                    <w:rPr>
                      <w:rFonts w:hint="eastAsia" w:ascii="宋体" w:hAnsi="宋体" w:cs="宋体"/>
                      <w:kern w:val="0"/>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层站召唤、层楼显示</w:t>
                  </w:r>
                </w:p>
              </w:tc>
              <w:tc>
                <w:tcPr>
                  <w:tcW w:w="3769" w:type="dxa"/>
                  <w:vAlign w:val="center"/>
                </w:tcPr>
                <w:p>
                  <w:pPr>
                    <w:widowControl/>
                    <w:spacing w:line="360" w:lineRule="auto"/>
                    <w:rPr>
                      <w:rFonts w:ascii="宋体" w:hAnsi="宋体" w:cs="宋体"/>
                      <w:kern w:val="0"/>
                    </w:rPr>
                  </w:pPr>
                  <w:r>
                    <w:rPr>
                      <w:rFonts w:hint="eastAsia" w:ascii="宋体" w:hAnsi="宋体" w:cs="宋体"/>
                      <w:kern w:val="0"/>
                    </w:rPr>
                    <w:t>齐全、有效、显示正常。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层门地坎</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层门自动关门装置</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层门门锁自动复位</w:t>
                  </w:r>
                </w:p>
              </w:tc>
              <w:tc>
                <w:tcPr>
                  <w:tcW w:w="3769" w:type="dxa"/>
                  <w:vAlign w:val="center"/>
                </w:tcPr>
                <w:p>
                  <w:pPr>
                    <w:widowControl/>
                    <w:spacing w:line="360" w:lineRule="auto"/>
                    <w:rPr>
                      <w:rFonts w:ascii="宋体" w:hAnsi="宋体" w:cs="宋体"/>
                      <w:kern w:val="0"/>
                    </w:rPr>
                  </w:pPr>
                  <w:r>
                    <w:rPr>
                      <w:rFonts w:hint="eastAsia" w:ascii="宋体" w:hAnsi="宋体" w:cs="宋体"/>
                      <w:kern w:val="0"/>
                    </w:rPr>
                    <w:t>用层门钥匙打开手动开锁装置释放后，层门门锁能自动复位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层门门锁电气触点</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层门锁紧元件啮合长度</w:t>
                  </w:r>
                </w:p>
              </w:tc>
              <w:tc>
                <w:tcPr>
                  <w:tcW w:w="3769" w:type="dxa"/>
                  <w:vAlign w:val="center"/>
                </w:tcPr>
                <w:p>
                  <w:pPr>
                    <w:widowControl/>
                    <w:spacing w:line="360" w:lineRule="auto"/>
                    <w:rPr>
                      <w:rFonts w:ascii="宋体" w:hAnsi="宋体" w:cs="宋体"/>
                      <w:kern w:val="0"/>
                    </w:rPr>
                  </w:pPr>
                  <w:r>
                    <w:rPr>
                      <w:rFonts w:hint="eastAsia" w:ascii="宋体" w:hAnsi="宋体" w:cs="宋体"/>
                      <w:kern w:val="0"/>
                    </w:rPr>
                    <w:t>不小于7mm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底坑环境</w:t>
                  </w:r>
                </w:p>
              </w:tc>
              <w:tc>
                <w:tcPr>
                  <w:tcW w:w="3769" w:type="dxa"/>
                  <w:vAlign w:val="center"/>
                </w:tcPr>
                <w:p>
                  <w:pPr>
                    <w:widowControl/>
                    <w:spacing w:line="360" w:lineRule="auto"/>
                    <w:rPr>
                      <w:rFonts w:ascii="宋体" w:hAnsi="宋体" w:cs="宋体"/>
                      <w:kern w:val="0"/>
                    </w:rPr>
                  </w:pPr>
                  <w:r>
                    <w:rPr>
                      <w:rFonts w:hint="eastAsia" w:ascii="宋体" w:hAnsi="宋体" w:cs="宋体"/>
                      <w:kern w:val="0"/>
                    </w:rPr>
                    <w:t>清洁，无渗水、积水，照明正常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kern w:val="0"/>
                    </w:rPr>
                  </w:pPr>
                </w:p>
              </w:tc>
              <w:tc>
                <w:tcPr>
                  <w:tcW w:w="3420" w:type="dxa"/>
                  <w:vAlign w:val="center"/>
                </w:tcPr>
                <w:p>
                  <w:pPr>
                    <w:widowControl/>
                    <w:spacing w:line="360" w:lineRule="auto"/>
                    <w:rPr>
                      <w:rFonts w:ascii="宋体" w:hAnsi="宋体" w:cs="宋体"/>
                      <w:kern w:val="0"/>
                    </w:rPr>
                  </w:pPr>
                  <w:r>
                    <w:rPr>
                      <w:rFonts w:hint="eastAsia" w:ascii="宋体" w:hAnsi="宋体" w:cs="宋体"/>
                      <w:kern w:val="0"/>
                    </w:rPr>
                    <w:t>底坑急停开关</w:t>
                  </w:r>
                </w:p>
              </w:tc>
              <w:tc>
                <w:tcPr>
                  <w:tcW w:w="3769" w:type="dxa"/>
                  <w:vAlign w:val="center"/>
                </w:tcPr>
                <w:p>
                  <w:pPr>
                    <w:widowControl/>
                    <w:spacing w:line="360" w:lineRule="auto"/>
                    <w:rPr>
                      <w:rFonts w:ascii="宋体" w:hAnsi="宋体" w:cs="宋体"/>
                      <w:kern w:val="0"/>
                    </w:rPr>
                  </w:pPr>
                  <w:r>
                    <w:rPr>
                      <w:rFonts w:hint="eastAsia" w:ascii="宋体" w:hAnsi="宋体" w:cs="宋体"/>
                      <w:kern w:val="0"/>
                    </w:rPr>
                    <w:t>工作正常</w:t>
                  </w:r>
                </w:p>
              </w:tc>
            </w:tr>
          </w:tbl>
          <w:p>
            <w:pPr>
              <w:spacing w:line="360" w:lineRule="auto"/>
              <w:rPr>
                <w:rFonts w:ascii="宋体" w:hAnsi="宋体"/>
                <w:kern w:val="0"/>
                <w:szCs w:val="22"/>
              </w:rPr>
            </w:pPr>
            <w:r>
              <w:rPr>
                <w:rFonts w:hint="eastAsia" w:ascii="宋体" w:hAnsi="宋体"/>
                <w:b/>
                <w:kern w:val="0"/>
                <w:szCs w:val="22"/>
              </w:rPr>
              <w:t>（二）电梯季度维修保养内容</w:t>
            </w:r>
          </w:p>
          <w:p>
            <w:pPr>
              <w:tabs>
                <w:tab w:val="left" w:pos="3510"/>
              </w:tabs>
              <w:spacing w:line="360" w:lineRule="auto"/>
              <w:ind w:firstLine="420" w:firstLineChars="200"/>
              <w:jc w:val="left"/>
              <w:rPr>
                <w:rFonts w:ascii="宋体" w:hAnsi="宋体" w:cs="宋体"/>
                <w:kern w:val="0"/>
              </w:rPr>
            </w:pPr>
            <w:r>
              <w:rPr>
                <w:rFonts w:hint="eastAsia" w:ascii="宋体" w:hAnsi="宋体" w:cs="宋体"/>
                <w:kern w:val="0"/>
              </w:rPr>
              <w:t>季度维修</w:t>
            </w:r>
            <w:r>
              <w:rPr>
                <w:rFonts w:ascii="宋体" w:hAnsi="宋体" w:cs="宋体"/>
                <w:kern w:val="0"/>
              </w:rPr>
              <w:t>保养是在</w:t>
            </w:r>
            <w:r>
              <w:rPr>
                <w:rFonts w:hint="eastAsia" w:ascii="宋体" w:hAnsi="宋体" w:cs="宋体"/>
                <w:kern w:val="0"/>
              </w:rPr>
              <w:t>日常</w:t>
            </w:r>
            <w:r>
              <w:rPr>
                <w:rFonts w:ascii="宋体" w:hAnsi="宋体" w:cs="宋体"/>
                <w:kern w:val="0"/>
              </w:rPr>
              <w:t>保养的基础上主要对电梯的各部件进行清洁、润滑、检查、特别是对安全装置的检查</w:t>
            </w:r>
            <w:r>
              <w:rPr>
                <w:rFonts w:hint="eastAsia" w:ascii="宋体" w:hAnsi="宋体" w:cs="宋体"/>
                <w:kern w:val="0"/>
              </w:rPr>
              <w:t>，季度维保项目（内容）和要求符合表一的要求外，还应当符合表二的要求。</w:t>
            </w:r>
          </w:p>
          <w:p>
            <w:pPr>
              <w:adjustRightInd w:val="0"/>
              <w:snapToGrid w:val="0"/>
              <w:spacing w:line="360" w:lineRule="auto"/>
              <w:ind w:firstLine="422" w:firstLineChars="200"/>
              <w:rPr>
                <w:rFonts w:ascii="宋体" w:hAnsi="宋体" w:cs="宋体"/>
                <w:b/>
                <w:bCs/>
                <w:kern w:val="0"/>
              </w:rPr>
            </w:pPr>
            <w:r>
              <w:rPr>
                <w:rFonts w:hint="eastAsia" w:ascii="宋体" w:hAnsi="宋体" w:cs="宋体"/>
                <w:b/>
                <w:bCs/>
                <w:kern w:val="0"/>
              </w:rPr>
              <w:t>表二：季度维保项目（内容）和标准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序号</w:t>
                  </w:r>
                </w:p>
              </w:tc>
              <w:tc>
                <w:tcPr>
                  <w:tcW w:w="3420" w:type="dxa"/>
                  <w:vAlign w:val="center"/>
                </w:tcPr>
                <w:p>
                  <w:pPr>
                    <w:widowControl/>
                    <w:spacing w:line="360" w:lineRule="auto"/>
                    <w:jc w:val="center"/>
                    <w:rPr>
                      <w:rFonts w:ascii="宋体" w:hAnsi="宋体" w:cs="宋体"/>
                      <w:kern w:val="0"/>
                    </w:rPr>
                  </w:pPr>
                  <w:r>
                    <w:rPr>
                      <w:rFonts w:hint="eastAsia" w:ascii="宋体" w:hAnsi="宋体" w:cs="宋体"/>
                      <w:kern w:val="0"/>
                    </w:rPr>
                    <w:t>维保项目（内容）</w:t>
                  </w:r>
                </w:p>
              </w:tc>
              <w:tc>
                <w:tcPr>
                  <w:tcW w:w="3780" w:type="dxa"/>
                  <w:vAlign w:val="center"/>
                </w:tcPr>
                <w:p>
                  <w:pPr>
                    <w:widowControl/>
                    <w:spacing w:line="360" w:lineRule="auto"/>
                    <w:jc w:val="center"/>
                    <w:rPr>
                      <w:rFonts w:ascii="宋体" w:hAnsi="宋体" w:cs="宋体"/>
                      <w:kern w:val="0"/>
                    </w:rPr>
                  </w:pPr>
                  <w:r>
                    <w:rPr>
                      <w:rFonts w:hint="eastAsia" w:ascii="宋体" w:hAnsi="宋体" w:cs="宋体"/>
                      <w:kern w:val="0"/>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减速机润滑油</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油量适宜，除蜗杆伸出端外均无渗漏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制动衬</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位置脉冲发生器</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选层器动静触点</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清洁，无烧蚀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5</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曳引轮槽、曳引钢丝绳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清洁，无严重油腻，张力均匀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6</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限速器轮槽、限速器钢丝绳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清洁，无严重油腻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7</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靴衬、滚轮</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8</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验证轿门关闭的电气安全装置</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9</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层门、轿门系统中传动钢丝绳、链条、胶带</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按照制造单位要求进行清洁、调整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10</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层门门导靴</w:t>
                  </w:r>
                </w:p>
              </w:tc>
              <w:tc>
                <w:tcPr>
                  <w:tcW w:w="3780" w:type="dxa"/>
                  <w:vAlign w:val="center"/>
                </w:tcPr>
                <w:p>
                  <w:pPr>
                    <w:widowControl/>
                    <w:spacing w:line="360" w:lineRule="auto"/>
                    <w:ind w:right="-132" w:rightChars="-63"/>
                    <w:rPr>
                      <w:rFonts w:ascii="宋体" w:hAnsi="宋体" w:cs="宋体"/>
                      <w:kern w:val="0"/>
                    </w:rPr>
                  </w:pPr>
                  <w:r>
                    <w:rPr>
                      <w:rFonts w:hint="eastAsia" w:ascii="宋体" w:hAnsi="宋体" w:cs="宋体"/>
                      <w:kern w:val="0"/>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消防开关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耗能缓冲器</w:t>
                  </w:r>
                </w:p>
              </w:tc>
              <w:tc>
                <w:tcPr>
                  <w:tcW w:w="3780" w:type="dxa"/>
                  <w:vAlign w:val="center"/>
                </w:tcPr>
                <w:p>
                  <w:pPr>
                    <w:widowControl/>
                    <w:spacing w:line="360" w:lineRule="auto"/>
                    <w:rPr>
                      <w:rFonts w:ascii="宋体" w:hAnsi="宋体" w:cs="宋体"/>
                      <w:kern w:val="0"/>
                    </w:rPr>
                  </w:pPr>
                  <w:r>
                    <w:rPr>
                      <w:rFonts w:hint="eastAsia" w:ascii="宋体" w:hAnsi="宋体" w:cs="宋体"/>
                      <w:kern w:val="0"/>
                    </w:rPr>
                    <w:t>电气安全装置功能有效，油量适宜，柱塞无锈蚀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限速器</w:t>
                  </w:r>
                  <w:r>
                    <w:rPr>
                      <w:rFonts w:hint="eastAsia" w:ascii="宋体" w:hAnsi="宋体" w:cs="宋体"/>
                      <w:bCs/>
                      <w:kern w:val="0"/>
                    </w:rPr>
                    <w:t>张</w:t>
                  </w:r>
                  <w:r>
                    <w:rPr>
                      <w:rFonts w:hint="eastAsia" w:ascii="宋体" w:hAnsi="宋体" w:cs="宋体"/>
                      <w:kern w:val="0"/>
                    </w:rPr>
                    <w:t>紧轮装置和电气安全装置</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w:t>
                  </w:r>
                </w:p>
              </w:tc>
            </w:tr>
          </w:tbl>
          <w:p>
            <w:pPr>
              <w:spacing w:line="360" w:lineRule="auto"/>
              <w:rPr>
                <w:rFonts w:ascii="宋体" w:hAnsi="宋体"/>
                <w:kern w:val="0"/>
                <w:szCs w:val="22"/>
              </w:rPr>
            </w:pPr>
            <w:r>
              <w:rPr>
                <w:rFonts w:hint="eastAsia" w:ascii="宋体" w:hAnsi="宋体"/>
                <w:b/>
                <w:kern w:val="0"/>
                <w:szCs w:val="22"/>
              </w:rPr>
              <w:t>（三）电梯半年维修保养内容</w:t>
            </w:r>
          </w:p>
          <w:p>
            <w:pPr>
              <w:tabs>
                <w:tab w:val="left" w:pos="3510"/>
              </w:tabs>
              <w:spacing w:line="360" w:lineRule="auto"/>
              <w:ind w:firstLine="411" w:firstLineChars="196"/>
              <w:jc w:val="left"/>
              <w:rPr>
                <w:rFonts w:ascii="宋体" w:hAnsi="宋体" w:cs="宋体"/>
                <w:kern w:val="0"/>
              </w:rPr>
            </w:pPr>
            <w:r>
              <w:rPr>
                <w:rFonts w:ascii="宋体" w:hAnsi="宋体" w:cs="宋体"/>
                <w:kern w:val="0"/>
              </w:rPr>
              <w:t>半年保养主要在</w:t>
            </w:r>
            <w:r>
              <w:rPr>
                <w:rFonts w:hint="eastAsia" w:ascii="宋体" w:hAnsi="宋体" w:cs="宋体"/>
                <w:kern w:val="0"/>
              </w:rPr>
              <w:t>日常和季度维修</w:t>
            </w:r>
            <w:r>
              <w:rPr>
                <w:rFonts w:ascii="宋体" w:hAnsi="宋体" w:cs="宋体"/>
                <w:kern w:val="0"/>
              </w:rPr>
              <w:t>保养基础上对电梯的重点部位检查调整、维护保养</w:t>
            </w:r>
            <w:r>
              <w:rPr>
                <w:rFonts w:hint="eastAsia" w:ascii="宋体" w:hAnsi="宋体" w:cs="宋体"/>
                <w:kern w:val="0"/>
              </w:rPr>
              <w:t>，其维保项目（内容）和要求除符合季度维保的项目（内容）和要求外，还应当符合表三的项目（内容）和要求。</w:t>
            </w:r>
          </w:p>
          <w:p>
            <w:pPr>
              <w:adjustRightInd w:val="0"/>
              <w:snapToGrid w:val="0"/>
              <w:spacing w:line="360" w:lineRule="auto"/>
              <w:ind w:firstLine="422" w:firstLineChars="200"/>
              <w:rPr>
                <w:rFonts w:ascii="宋体" w:hAnsi="宋体" w:cs="宋体"/>
                <w:kern w:val="0"/>
              </w:rPr>
            </w:pPr>
            <w:r>
              <w:rPr>
                <w:rFonts w:hint="eastAsia" w:ascii="宋体" w:hAnsi="宋体" w:cs="宋体"/>
                <w:b/>
                <w:bCs/>
                <w:kern w:val="0"/>
              </w:rPr>
              <w:t>表三：半年维保项目（内容）和标准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序号</w:t>
                  </w:r>
                </w:p>
              </w:tc>
              <w:tc>
                <w:tcPr>
                  <w:tcW w:w="3420" w:type="dxa"/>
                  <w:vAlign w:val="center"/>
                </w:tcPr>
                <w:p>
                  <w:pPr>
                    <w:widowControl/>
                    <w:spacing w:line="360" w:lineRule="auto"/>
                    <w:jc w:val="center"/>
                    <w:rPr>
                      <w:rFonts w:ascii="宋体" w:hAnsi="宋体" w:cs="宋体"/>
                      <w:kern w:val="0"/>
                    </w:rPr>
                  </w:pPr>
                  <w:r>
                    <w:rPr>
                      <w:rFonts w:hint="eastAsia" w:ascii="宋体" w:hAnsi="宋体" w:cs="宋体"/>
                      <w:kern w:val="0"/>
                    </w:rPr>
                    <w:t>维保项目（内容）</w:t>
                  </w:r>
                </w:p>
              </w:tc>
              <w:tc>
                <w:tcPr>
                  <w:tcW w:w="3780" w:type="dxa"/>
                  <w:vAlign w:val="center"/>
                </w:tcPr>
                <w:p>
                  <w:pPr>
                    <w:widowControl/>
                    <w:spacing w:line="360" w:lineRule="auto"/>
                    <w:jc w:val="center"/>
                    <w:rPr>
                      <w:rFonts w:ascii="宋体" w:hAnsi="宋体" w:cs="宋体"/>
                      <w:kern w:val="0"/>
                    </w:rPr>
                  </w:pPr>
                  <w:r>
                    <w:rPr>
                      <w:rFonts w:hint="eastAsia" w:ascii="宋体" w:hAnsi="宋体" w:cs="宋体"/>
                      <w:kern w:val="0"/>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电动机与减速机联轴器螺栓</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曳引轮、导向轮轴承部</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曳引轮槽</w:t>
                  </w:r>
                </w:p>
              </w:tc>
              <w:tc>
                <w:tcPr>
                  <w:tcW w:w="3780" w:type="dxa"/>
                  <w:vAlign w:val="center"/>
                </w:tcPr>
                <w:p>
                  <w:pPr>
                    <w:widowControl/>
                    <w:spacing w:line="360" w:lineRule="auto"/>
                    <w:rPr>
                      <w:rFonts w:ascii="宋体" w:hAnsi="宋体" w:cs="宋体"/>
                      <w:kern w:val="0"/>
                    </w:rPr>
                  </w:pPr>
                  <w:r>
                    <w:rPr>
                      <w:rFonts w:hint="eastAsia" w:ascii="宋体" w:hAnsi="宋体" w:cs="宋体"/>
                      <w:kern w:val="0"/>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制动器上检测开关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工作正常，制动器动作可靠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5</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控制柜内各接线端子</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各接线紧固、整齐，线号齐全清晰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6</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控制柜各仪表</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显示正确，无积尘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7</w:t>
                  </w:r>
                </w:p>
              </w:tc>
              <w:tc>
                <w:tcPr>
                  <w:tcW w:w="3420" w:type="dxa"/>
                  <w:vAlign w:val="center"/>
                </w:tcPr>
                <w:p>
                  <w:pPr>
                    <w:widowControl/>
                    <w:spacing w:line="360" w:lineRule="auto"/>
                    <w:rPr>
                      <w:rFonts w:ascii="宋体" w:hAnsi="宋体" w:cs="宋体"/>
                      <w:kern w:val="0"/>
                    </w:rPr>
                  </w:pPr>
                  <w:r>
                    <w:rPr>
                      <w:rFonts w:hint="eastAsia" w:ascii="宋体" w:hAnsi="宋体" w:cs="宋体"/>
                      <w:kern w:val="0"/>
                    </w:rPr>
                    <w:t>井道、对重、轿顶各反绳轮轴承部</w:t>
                  </w:r>
                </w:p>
              </w:tc>
              <w:tc>
                <w:tcPr>
                  <w:tcW w:w="3780" w:type="dxa"/>
                  <w:vAlign w:val="center"/>
                </w:tcPr>
                <w:p>
                  <w:pPr>
                    <w:widowControl/>
                    <w:spacing w:line="360" w:lineRule="auto"/>
                    <w:rPr>
                      <w:rFonts w:ascii="宋体" w:hAnsi="宋体" w:cs="宋体"/>
                      <w:kern w:val="0"/>
                    </w:rPr>
                  </w:pPr>
                  <w:r>
                    <w:rPr>
                      <w:rFonts w:hint="eastAsia" w:ascii="宋体" w:hAnsi="宋体" w:cs="宋体"/>
                      <w:kern w:val="0"/>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8</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曳引绳、补偿绳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磨损量、断丝数不超过要求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9</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曳引绳绳头组合</w:t>
                  </w:r>
                </w:p>
              </w:tc>
              <w:tc>
                <w:tcPr>
                  <w:tcW w:w="3780" w:type="dxa"/>
                  <w:vAlign w:val="center"/>
                </w:tcPr>
                <w:p>
                  <w:pPr>
                    <w:widowControl/>
                    <w:spacing w:line="360" w:lineRule="auto"/>
                    <w:rPr>
                      <w:rFonts w:ascii="宋体" w:hAnsi="宋体" w:cs="宋体"/>
                      <w:kern w:val="0"/>
                    </w:rPr>
                  </w:pPr>
                  <w:r>
                    <w:rPr>
                      <w:rFonts w:hint="eastAsia" w:ascii="宋体" w:hAnsi="宋体" w:cs="宋体"/>
                      <w:kern w:val="0"/>
                    </w:rPr>
                    <w:t>螺母无松动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10</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限速器钢丝绳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磨损量、断丝数不超过制造单位要求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层门、轿门门扇</w:t>
                  </w:r>
                </w:p>
              </w:tc>
              <w:tc>
                <w:tcPr>
                  <w:tcW w:w="3780" w:type="dxa"/>
                  <w:vAlign w:val="center"/>
                </w:tcPr>
                <w:p>
                  <w:pPr>
                    <w:widowControl/>
                    <w:spacing w:line="360" w:lineRule="auto"/>
                    <w:rPr>
                      <w:rFonts w:ascii="宋体" w:hAnsi="宋体" w:cs="宋体"/>
                      <w:kern w:val="0"/>
                    </w:rPr>
                  </w:pPr>
                  <w:r>
                    <w:rPr>
                      <w:rFonts w:hint="eastAsia" w:ascii="宋体" w:hAnsi="宋体" w:cs="宋体"/>
                      <w:kern w:val="0"/>
                    </w:rPr>
                    <w:t>门扇各相关间隙符合标准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对重缓冲距</w:t>
                  </w:r>
                </w:p>
              </w:tc>
              <w:tc>
                <w:tcPr>
                  <w:tcW w:w="3780" w:type="dxa"/>
                  <w:vAlign w:val="center"/>
                </w:tcPr>
                <w:p>
                  <w:pPr>
                    <w:widowControl/>
                    <w:spacing w:line="360" w:lineRule="auto"/>
                    <w:rPr>
                      <w:rFonts w:ascii="宋体" w:hAnsi="宋体" w:cs="宋体"/>
                      <w:kern w:val="0"/>
                    </w:rPr>
                  </w:pPr>
                  <w:r>
                    <w:rPr>
                      <w:rFonts w:hint="eastAsia" w:ascii="宋体" w:hAnsi="宋体" w:cs="宋体"/>
                      <w:kern w:val="0"/>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adjustRightInd w:val="0"/>
                    <w:spacing w:line="360" w:lineRule="auto"/>
                    <w:jc w:val="center"/>
                    <w:rPr>
                      <w:rFonts w:ascii="宋体" w:hAnsi="宋体" w:cs="宋体"/>
                      <w:kern w:val="0"/>
                    </w:rPr>
                  </w:pPr>
                  <w:r>
                    <w:rPr>
                      <w:rFonts w:hint="eastAsia" w:ascii="宋体" w:hAnsi="宋体" w:cs="宋体"/>
                      <w:kern w:val="0"/>
                    </w:rPr>
                    <w:t>13</w:t>
                  </w:r>
                </w:p>
              </w:tc>
              <w:tc>
                <w:tcPr>
                  <w:tcW w:w="3420" w:type="dxa"/>
                  <w:vAlign w:val="center"/>
                </w:tcPr>
                <w:p>
                  <w:pPr>
                    <w:widowControl/>
                    <w:adjustRightInd w:val="0"/>
                    <w:spacing w:line="360" w:lineRule="auto"/>
                    <w:rPr>
                      <w:rFonts w:ascii="宋体" w:hAnsi="宋体" w:cs="宋体"/>
                      <w:kern w:val="0"/>
                    </w:rPr>
                  </w:pPr>
                  <w:r>
                    <w:rPr>
                      <w:rFonts w:hint="eastAsia" w:ascii="宋体" w:hAnsi="宋体" w:cs="宋体"/>
                      <w:kern w:val="0"/>
                    </w:rPr>
                    <w:t>补偿链（绳）与轿厢、对重接合处</w:t>
                  </w:r>
                </w:p>
              </w:tc>
              <w:tc>
                <w:tcPr>
                  <w:tcW w:w="3780" w:type="dxa"/>
                  <w:vAlign w:val="center"/>
                </w:tcPr>
                <w:p>
                  <w:pPr>
                    <w:widowControl/>
                    <w:adjustRightInd w:val="0"/>
                    <w:spacing w:line="360" w:lineRule="auto"/>
                    <w:rPr>
                      <w:rFonts w:ascii="宋体" w:hAnsi="宋体" w:cs="宋体"/>
                      <w:kern w:val="0"/>
                    </w:rPr>
                  </w:pPr>
                  <w:r>
                    <w:rPr>
                      <w:rFonts w:hint="eastAsia" w:ascii="宋体" w:hAnsi="宋体" w:cs="宋体"/>
                      <w:kern w:val="0"/>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上下极限开关</w:t>
                  </w:r>
                </w:p>
              </w:tc>
              <w:tc>
                <w:tcPr>
                  <w:tcW w:w="3780" w:type="dxa"/>
                  <w:vAlign w:val="center"/>
                </w:tcPr>
                <w:p>
                  <w:pPr>
                    <w:widowControl/>
                    <w:spacing w:line="360" w:lineRule="auto"/>
                    <w:rPr>
                      <w:rFonts w:ascii="宋体" w:hAnsi="宋体" w:cs="宋体"/>
                      <w:kern w:val="0"/>
                    </w:rPr>
                  </w:pPr>
                  <w:r>
                    <w:rPr>
                      <w:rFonts w:hint="eastAsia" w:ascii="宋体" w:hAnsi="宋体" w:cs="宋体"/>
                      <w:kern w:val="0"/>
                    </w:rPr>
                    <w:t>工作正常</w:t>
                  </w:r>
                </w:p>
              </w:tc>
            </w:tr>
          </w:tbl>
          <w:p>
            <w:pPr>
              <w:spacing w:line="360" w:lineRule="auto"/>
              <w:rPr>
                <w:rFonts w:ascii="宋体" w:hAnsi="宋体"/>
                <w:kern w:val="0"/>
                <w:szCs w:val="22"/>
              </w:rPr>
            </w:pPr>
            <w:r>
              <w:rPr>
                <w:rFonts w:hint="eastAsia" w:ascii="宋体" w:hAnsi="宋体"/>
                <w:b/>
                <w:kern w:val="0"/>
                <w:szCs w:val="22"/>
              </w:rPr>
              <w:t>（四）电梯年检前的全面调整修理内容</w:t>
            </w:r>
          </w:p>
          <w:p>
            <w:pPr>
              <w:tabs>
                <w:tab w:val="left" w:pos="3510"/>
              </w:tabs>
              <w:spacing w:line="360" w:lineRule="auto"/>
              <w:ind w:firstLine="411" w:firstLineChars="196"/>
              <w:jc w:val="left"/>
              <w:rPr>
                <w:rFonts w:ascii="宋体" w:hAnsi="宋体"/>
                <w:color w:val="000000"/>
              </w:rPr>
            </w:pPr>
            <w:r>
              <w:rPr>
                <w:rFonts w:hint="eastAsia" w:ascii="宋体" w:hAnsi="宋体"/>
                <w:color w:val="000000"/>
              </w:rPr>
              <w:t>年检前的维修保养是对电梯全面彻底的维修保养工作，年度维保项目（内容）和要求除符合表三的要求外，还应当符合表四的要求。</w:t>
            </w:r>
          </w:p>
          <w:p>
            <w:pPr>
              <w:adjustRightInd w:val="0"/>
              <w:snapToGrid w:val="0"/>
              <w:spacing w:line="360" w:lineRule="auto"/>
              <w:ind w:firstLine="422" w:firstLineChars="200"/>
              <w:rPr>
                <w:rFonts w:ascii="宋体" w:hAnsi="宋体" w:cs="宋体"/>
                <w:b/>
                <w:bCs/>
                <w:kern w:val="0"/>
              </w:rPr>
            </w:pPr>
            <w:r>
              <w:rPr>
                <w:rFonts w:hint="eastAsia" w:ascii="宋体" w:hAnsi="宋体" w:cs="宋体"/>
                <w:b/>
                <w:bCs/>
                <w:kern w:val="0"/>
              </w:rPr>
              <w:t>表四：年度维保项目（内容）和标准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49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序号</w:t>
                  </w:r>
                </w:p>
              </w:tc>
              <w:tc>
                <w:tcPr>
                  <w:tcW w:w="3420" w:type="dxa"/>
                  <w:vAlign w:val="center"/>
                </w:tcPr>
                <w:p>
                  <w:pPr>
                    <w:widowControl/>
                    <w:spacing w:line="360" w:lineRule="auto"/>
                    <w:jc w:val="center"/>
                    <w:rPr>
                      <w:rFonts w:ascii="宋体" w:hAnsi="宋体" w:cs="宋体"/>
                      <w:kern w:val="0"/>
                    </w:rPr>
                  </w:pPr>
                  <w:r>
                    <w:rPr>
                      <w:rFonts w:hint="eastAsia" w:ascii="宋体" w:hAnsi="宋体" w:cs="宋体"/>
                      <w:kern w:val="0"/>
                    </w:rPr>
                    <w:t>维保项目（内容）</w:t>
                  </w:r>
                </w:p>
              </w:tc>
              <w:tc>
                <w:tcPr>
                  <w:tcW w:w="3498" w:type="dxa"/>
                  <w:vAlign w:val="center"/>
                </w:tcPr>
                <w:p>
                  <w:pPr>
                    <w:widowControl/>
                    <w:spacing w:line="360" w:lineRule="auto"/>
                    <w:jc w:val="center"/>
                    <w:rPr>
                      <w:rFonts w:ascii="宋体" w:hAnsi="宋体" w:cs="宋体"/>
                      <w:kern w:val="0"/>
                    </w:rPr>
                  </w:pPr>
                  <w:r>
                    <w:rPr>
                      <w:rFonts w:hint="eastAsia" w:ascii="宋体" w:hAnsi="宋体" w:cs="宋体"/>
                      <w:kern w:val="0"/>
                    </w:rPr>
                    <w:t>维保基本要求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减速机润滑油</w:t>
                  </w:r>
                </w:p>
              </w:tc>
              <w:tc>
                <w:tcPr>
                  <w:tcW w:w="3498" w:type="dxa"/>
                  <w:vAlign w:val="center"/>
                </w:tcPr>
                <w:p>
                  <w:pPr>
                    <w:widowControl/>
                    <w:spacing w:line="360" w:lineRule="auto"/>
                    <w:rPr>
                      <w:rFonts w:ascii="宋体" w:hAnsi="宋体" w:cs="宋体"/>
                      <w:kern w:val="0"/>
                    </w:rPr>
                  </w:pPr>
                  <w:r>
                    <w:rPr>
                      <w:rFonts w:hint="eastAsia" w:ascii="宋体" w:hAnsi="宋体" w:cs="宋体"/>
                      <w:kern w:val="0"/>
                    </w:rPr>
                    <w:t>按照制造单位要求适时更换，保证油质符合要求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控制柜接触器，继电器触点</w:t>
                  </w:r>
                </w:p>
              </w:tc>
              <w:tc>
                <w:tcPr>
                  <w:tcW w:w="3498" w:type="dxa"/>
                  <w:vAlign w:val="center"/>
                </w:tcPr>
                <w:p>
                  <w:pPr>
                    <w:widowControl/>
                    <w:spacing w:line="360" w:lineRule="auto"/>
                    <w:rPr>
                      <w:rFonts w:ascii="宋体" w:hAnsi="宋体" w:cs="宋体"/>
                      <w:kern w:val="0"/>
                    </w:rPr>
                  </w:pPr>
                  <w:r>
                    <w:rPr>
                      <w:rFonts w:hint="eastAsia" w:ascii="宋体" w:hAnsi="宋体" w:cs="宋体"/>
                      <w:kern w:val="0"/>
                    </w:rPr>
                    <w:t>接触良好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制动器铁芯（柱塞）</w:t>
                  </w:r>
                </w:p>
              </w:tc>
              <w:tc>
                <w:tcPr>
                  <w:tcW w:w="3498" w:type="dxa"/>
                  <w:vAlign w:val="center"/>
                </w:tcPr>
                <w:p>
                  <w:pPr>
                    <w:widowControl/>
                    <w:spacing w:line="360" w:lineRule="auto"/>
                    <w:rPr>
                      <w:rFonts w:ascii="宋体" w:hAnsi="宋体" w:cs="宋体"/>
                      <w:kern w:val="0"/>
                    </w:rPr>
                  </w:pPr>
                  <w:r>
                    <w:rPr>
                      <w:rFonts w:hint="eastAsia" w:ascii="宋体" w:hAnsi="宋体" w:cs="宋体"/>
                      <w:bCs/>
                      <w:kern w:val="0"/>
                    </w:rPr>
                    <w:t>进行</w:t>
                  </w:r>
                  <w:r>
                    <w:rPr>
                      <w:rFonts w:hint="eastAsia" w:ascii="宋体" w:hAnsi="宋体" w:cs="宋体"/>
                      <w:kern w:val="0"/>
                    </w:rPr>
                    <w:t>清洁、润滑、</w:t>
                  </w:r>
                  <w:r>
                    <w:rPr>
                      <w:rFonts w:hint="eastAsia" w:ascii="宋体" w:hAnsi="宋体" w:cs="宋体"/>
                      <w:bCs/>
                      <w:kern w:val="0"/>
                    </w:rPr>
                    <w:t>检查，</w:t>
                  </w:r>
                  <w:r>
                    <w:rPr>
                      <w:rFonts w:hint="eastAsia" w:ascii="宋体" w:hAnsi="宋体" w:cs="宋体"/>
                      <w:kern w:val="0"/>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制动器制动弹簧压缩量</w:t>
                  </w:r>
                </w:p>
              </w:tc>
              <w:tc>
                <w:tcPr>
                  <w:tcW w:w="3498" w:type="dxa"/>
                  <w:vAlign w:val="center"/>
                </w:tcPr>
                <w:p>
                  <w:pPr>
                    <w:widowControl/>
                    <w:spacing w:line="360" w:lineRule="auto"/>
                    <w:rPr>
                      <w:rFonts w:ascii="宋体" w:hAnsi="宋体" w:cs="宋体"/>
                      <w:kern w:val="0"/>
                    </w:rPr>
                  </w:pPr>
                  <w:r>
                    <w:rPr>
                      <w:rFonts w:hint="eastAsia" w:ascii="宋体" w:hAnsi="宋体" w:cs="宋体"/>
                      <w:kern w:val="0"/>
                    </w:rPr>
                    <w:t>符合制造单位要求，保持有足够的制动力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5</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导电回路绝缘性能</w:t>
                  </w:r>
                  <w:r>
                    <w:rPr>
                      <w:rFonts w:hint="eastAsia" w:ascii="宋体" w:hAnsi="宋体" w:cs="宋体"/>
                      <w:bCs/>
                      <w:kern w:val="0"/>
                    </w:rPr>
                    <w:t>测试</w:t>
                  </w:r>
                </w:p>
              </w:tc>
              <w:tc>
                <w:tcPr>
                  <w:tcW w:w="3498" w:type="dxa"/>
                  <w:vAlign w:val="center"/>
                </w:tcPr>
                <w:p>
                  <w:pPr>
                    <w:widowControl/>
                    <w:spacing w:line="360" w:lineRule="auto"/>
                    <w:rPr>
                      <w:rFonts w:ascii="宋体" w:hAnsi="宋体" w:cs="宋体"/>
                      <w:kern w:val="0"/>
                    </w:rPr>
                  </w:pPr>
                  <w:r>
                    <w:rPr>
                      <w:rFonts w:hint="eastAsia" w:ascii="宋体" w:hAnsi="宋体" w:cs="宋体"/>
                      <w:kern w:val="0"/>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6</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限速器安全钳联动试验（每2年进行一次限速器动作速度校验）</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7</w:t>
                  </w:r>
                </w:p>
              </w:tc>
              <w:tc>
                <w:tcPr>
                  <w:tcW w:w="3420" w:type="dxa"/>
                  <w:vAlign w:val="center"/>
                </w:tcPr>
                <w:p>
                  <w:pPr>
                    <w:widowControl/>
                    <w:spacing w:line="360" w:lineRule="auto"/>
                    <w:rPr>
                      <w:rFonts w:ascii="宋体" w:hAnsi="宋体" w:cs="宋体"/>
                      <w:kern w:val="0"/>
                    </w:rPr>
                  </w:pPr>
                  <w:r>
                    <w:rPr>
                      <w:rFonts w:hint="eastAsia" w:ascii="宋体" w:hAnsi="宋体" w:cs="宋体"/>
                      <w:kern w:val="0"/>
                    </w:rPr>
                    <w:t>上行超速保护装置动作试验</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8</w:t>
                  </w:r>
                </w:p>
              </w:tc>
              <w:tc>
                <w:tcPr>
                  <w:tcW w:w="3420" w:type="dxa"/>
                  <w:vAlign w:val="center"/>
                </w:tcPr>
                <w:p>
                  <w:pPr>
                    <w:widowControl/>
                    <w:spacing w:line="360" w:lineRule="auto"/>
                    <w:rPr>
                      <w:rFonts w:ascii="宋体" w:hAnsi="宋体" w:cs="宋体"/>
                      <w:kern w:val="0"/>
                    </w:rPr>
                  </w:pPr>
                  <w:r>
                    <w:rPr>
                      <w:rFonts w:hint="eastAsia" w:ascii="宋体" w:hAnsi="宋体" w:cs="宋体"/>
                      <w:kern w:val="0"/>
                    </w:rPr>
                    <w:t>轿顶、轿厢架、轿门及其附件安装螺栓</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各螺栓紧固。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bCs/>
                      <w:kern w:val="0"/>
                    </w:rPr>
                  </w:pPr>
                  <w:r>
                    <w:rPr>
                      <w:rFonts w:hint="eastAsia" w:ascii="宋体" w:hAnsi="宋体" w:cs="宋体"/>
                      <w:bCs/>
                      <w:kern w:val="0"/>
                    </w:rPr>
                    <w:t>9</w:t>
                  </w:r>
                </w:p>
              </w:tc>
              <w:tc>
                <w:tcPr>
                  <w:tcW w:w="3420" w:type="dxa"/>
                  <w:vAlign w:val="center"/>
                </w:tcPr>
                <w:p>
                  <w:pPr>
                    <w:widowControl/>
                    <w:spacing w:line="360" w:lineRule="auto"/>
                    <w:rPr>
                      <w:rFonts w:ascii="宋体" w:hAnsi="宋体" w:cs="宋体"/>
                      <w:bCs/>
                      <w:kern w:val="0"/>
                    </w:rPr>
                  </w:pPr>
                  <w:r>
                    <w:rPr>
                      <w:rFonts w:hint="eastAsia" w:ascii="宋体" w:hAnsi="宋体" w:cs="宋体"/>
                      <w:bCs/>
                      <w:kern w:val="0"/>
                    </w:rPr>
                    <w:t>轿厢和对重的导轨支架</w:t>
                  </w:r>
                </w:p>
              </w:tc>
              <w:tc>
                <w:tcPr>
                  <w:tcW w:w="3498" w:type="dxa"/>
                  <w:vAlign w:val="center"/>
                </w:tcPr>
                <w:p>
                  <w:pPr>
                    <w:widowControl/>
                    <w:spacing w:line="360" w:lineRule="auto"/>
                    <w:rPr>
                      <w:rFonts w:ascii="宋体" w:hAnsi="宋体" w:cs="宋体"/>
                      <w:bCs/>
                      <w:kern w:val="0"/>
                    </w:rPr>
                  </w:pPr>
                  <w:r>
                    <w:rPr>
                      <w:rFonts w:hint="eastAsia" w:ascii="宋体" w:hAnsi="宋体" w:cs="宋体"/>
                      <w:bCs/>
                      <w:kern w:val="0"/>
                    </w:rPr>
                    <w:t xml:space="preserve">固定，无松动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bCs/>
                      <w:kern w:val="0"/>
                    </w:rPr>
                  </w:pPr>
                  <w:r>
                    <w:rPr>
                      <w:rFonts w:hint="eastAsia" w:ascii="宋体" w:hAnsi="宋体" w:cs="宋体"/>
                      <w:bCs/>
                      <w:kern w:val="0"/>
                    </w:rPr>
                    <w:t>10</w:t>
                  </w:r>
                </w:p>
              </w:tc>
              <w:tc>
                <w:tcPr>
                  <w:tcW w:w="3420" w:type="dxa"/>
                  <w:vAlign w:val="center"/>
                </w:tcPr>
                <w:p>
                  <w:pPr>
                    <w:widowControl/>
                    <w:spacing w:line="360" w:lineRule="auto"/>
                    <w:rPr>
                      <w:rFonts w:ascii="宋体" w:hAnsi="宋体" w:cs="宋体"/>
                      <w:bCs/>
                      <w:kern w:val="0"/>
                    </w:rPr>
                  </w:pPr>
                  <w:r>
                    <w:rPr>
                      <w:rFonts w:hint="eastAsia" w:ascii="宋体" w:hAnsi="宋体"/>
                      <w:bCs/>
                    </w:rPr>
                    <w:t>轿厢和对重的导轨</w:t>
                  </w:r>
                </w:p>
              </w:tc>
              <w:tc>
                <w:tcPr>
                  <w:tcW w:w="3498" w:type="dxa"/>
                  <w:vAlign w:val="center"/>
                </w:tcPr>
                <w:p>
                  <w:pPr>
                    <w:widowControl/>
                    <w:spacing w:line="360" w:lineRule="auto"/>
                    <w:rPr>
                      <w:rFonts w:ascii="宋体" w:hAnsi="宋体"/>
                      <w:bCs/>
                    </w:rPr>
                  </w:pPr>
                  <w:r>
                    <w:rPr>
                      <w:rFonts w:hint="eastAsia" w:ascii="宋体" w:hAnsi="宋体"/>
                      <w:bCs/>
                    </w:rPr>
                    <w:t>清洁，压板牢固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11</w:t>
                  </w:r>
                </w:p>
              </w:tc>
              <w:tc>
                <w:tcPr>
                  <w:tcW w:w="3420" w:type="dxa"/>
                  <w:vAlign w:val="center"/>
                </w:tcPr>
                <w:p>
                  <w:pPr>
                    <w:widowControl/>
                    <w:spacing w:line="360" w:lineRule="auto"/>
                    <w:rPr>
                      <w:rFonts w:ascii="宋体" w:hAnsi="宋体" w:cs="宋体"/>
                      <w:kern w:val="0"/>
                    </w:rPr>
                  </w:pPr>
                  <w:r>
                    <w:rPr>
                      <w:rFonts w:hint="eastAsia" w:ascii="宋体" w:hAnsi="宋体" w:cs="宋体"/>
                      <w:kern w:val="0"/>
                    </w:rPr>
                    <w:t>随行电缆</w:t>
                  </w:r>
                </w:p>
              </w:tc>
              <w:tc>
                <w:tcPr>
                  <w:tcW w:w="3498" w:type="dxa"/>
                  <w:vAlign w:val="center"/>
                </w:tcPr>
                <w:p>
                  <w:pPr>
                    <w:widowControl/>
                    <w:spacing w:line="360" w:lineRule="auto"/>
                    <w:rPr>
                      <w:rFonts w:ascii="宋体" w:hAnsi="宋体" w:cs="宋体"/>
                      <w:kern w:val="0"/>
                    </w:rPr>
                  </w:pPr>
                  <w:r>
                    <w:rPr>
                      <w:rFonts w:hint="eastAsia" w:ascii="宋体" w:hAnsi="宋体" w:cs="宋体"/>
                      <w:kern w:val="0"/>
                    </w:rPr>
                    <w:t>无损伤、无碰铁现象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12</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层门装置和地坎</w:t>
                  </w:r>
                </w:p>
              </w:tc>
              <w:tc>
                <w:tcPr>
                  <w:tcW w:w="3498" w:type="dxa"/>
                  <w:vAlign w:val="center"/>
                </w:tcPr>
                <w:p>
                  <w:pPr>
                    <w:widowControl/>
                    <w:spacing w:line="360" w:lineRule="auto"/>
                    <w:rPr>
                      <w:rFonts w:ascii="宋体" w:hAnsi="宋体" w:cs="宋体"/>
                      <w:kern w:val="0"/>
                    </w:rPr>
                  </w:pPr>
                  <w:r>
                    <w:rPr>
                      <w:rFonts w:hint="eastAsia" w:ascii="宋体" w:hAnsi="宋体" w:cs="宋体"/>
                      <w:kern w:val="0"/>
                    </w:rPr>
                    <w:t>无影响正常使用的变形，各安装螺栓紧固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13</w:t>
                  </w:r>
                </w:p>
              </w:tc>
              <w:tc>
                <w:tcPr>
                  <w:tcW w:w="3420" w:type="dxa"/>
                  <w:vAlign w:val="center"/>
                </w:tcPr>
                <w:p>
                  <w:pPr>
                    <w:widowControl/>
                    <w:spacing w:line="360" w:lineRule="auto"/>
                    <w:rPr>
                      <w:rFonts w:ascii="宋体" w:hAnsi="宋体" w:cs="宋体"/>
                      <w:kern w:val="0"/>
                    </w:rPr>
                  </w:pPr>
                  <w:r>
                    <w:rPr>
                      <w:rFonts w:hint="eastAsia" w:ascii="宋体" w:hAnsi="宋体" w:cs="宋体"/>
                      <w:kern w:val="0"/>
                    </w:rPr>
                    <w:t>轿厢称重装置</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准确有效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14</w:t>
                  </w:r>
                </w:p>
              </w:tc>
              <w:tc>
                <w:tcPr>
                  <w:tcW w:w="3420" w:type="dxa"/>
                  <w:vAlign w:val="center"/>
                </w:tcPr>
                <w:p>
                  <w:pPr>
                    <w:widowControl/>
                    <w:spacing w:line="360" w:lineRule="auto"/>
                    <w:rPr>
                      <w:rFonts w:ascii="宋体" w:hAnsi="宋体" w:cs="宋体"/>
                      <w:kern w:val="0"/>
                    </w:rPr>
                  </w:pPr>
                  <w:r>
                    <w:rPr>
                      <w:rFonts w:hint="eastAsia" w:ascii="宋体" w:hAnsi="宋体" w:cs="宋体"/>
                      <w:kern w:val="0"/>
                    </w:rPr>
                    <w:t>安全钳钳座</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15</w:t>
                  </w:r>
                </w:p>
              </w:tc>
              <w:tc>
                <w:tcPr>
                  <w:tcW w:w="3420" w:type="dxa"/>
                  <w:vAlign w:val="center"/>
                </w:tcPr>
                <w:p>
                  <w:pPr>
                    <w:widowControl/>
                    <w:spacing w:line="360" w:lineRule="auto"/>
                    <w:rPr>
                      <w:rFonts w:ascii="宋体" w:hAnsi="宋体" w:cs="宋体"/>
                      <w:kern w:val="0"/>
                    </w:rPr>
                  </w:pPr>
                  <w:r>
                    <w:rPr>
                      <w:rFonts w:hint="eastAsia" w:ascii="宋体" w:hAnsi="宋体"/>
                    </w:rPr>
                    <w:t>轿底各安装螺栓</w:t>
                  </w:r>
                </w:p>
              </w:tc>
              <w:tc>
                <w:tcPr>
                  <w:tcW w:w="3498" w:type="dxa"/>
                  <w:vAlign w:val="center"/>
                </w:tcPr>
                <w:p>
                  <w:pPr>
                    <w:widowControl/>
                    <w:spacing w:line="360" w:lineRule="auto"/>
                    <w:rPr>
                      <w:rFonts w:ascii="宋体" w:hAnsi="宋体"/>
                    </w:rPr>
                  </w:pPr>
                  <w:r>
                    <w:rPr>
                      <w:rFonts w:hint="eastAsia" w:ascii="宋体" w:hAnsi="宋体"/>
                    </w:rPr>
                    <w:t>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kern w:val="0"/>
                    </w:rPr>
                  </w:pPr>
                  <w:r>
                    <w:rPr>
                      <w:rFonts w:hint="eastAsia" w:ascii="宋体" w:hAnsi="宋体" w:cs="宋体"/>
                      <w:kern w:val="0"/>
                    </w:rPr>
                    <w:t>16</w:t>
                  </w:r>
                </w:p>
              </w:tc>
              <w:tc>
                <w:tcPr>
                  <w:tcW w:w="3420" w:type="dxa"/>
                  <w:vAlign w:val="center"/>
                </w:tcPr>
                <w:p>
                  <w:pPr>
                    <w:widowControl/>
                    <w:spacing w:line="360" w:lineRule="auto"/>
                    <w:rPr>
                      <w:rFonts w:ascii="宋体" w:hAnsi="宋体" w:cs="宋体"/>
                      <w:kern w:val="0"/>
                    </w:rPr>
                  </w:pPr>
                  <w:r>
                    <w:rPr>
                      <w:rFonts w:hint="eastAsia" w:ascii="宋体" w:hAnsi="宋体" w:cs="宋体"/>
                      <w:kern w:val="0"/>
                    </w:rPr>
                    <w:t>缓冲器</w:t>
                  </w:r>
                </w:p>
              </w:tc>
              <w:tc>
                <w:tcPr>
                  <w:tcW w:w="3498" w:type="dxa"/>
                  <w:vAlign w:val="center"/>
                </w:tcPr>
                <w:p>
                  <w:pPr>
                    <w:widowControl/>
                    <w:spacing w:line="360" w:lineRule="auto"/>
                    <w:rPr>
                      <w:rFonts w:ascii="宋体" w:hAnsi="宋体" w:cs="宋体"/>
                      <w:kern w:val="0"/>
                    </w:rPr>
                  </w:pPr>
                  <w:r>
                    <w:rPr>
                      <w:rFonts w:hint="eastAsia" w:ascii="宋体" w:hAnsi="宋体" w:cs="宋体"/>
                      <w:kern w:val="0"/>
                    </w:rPr>
                    <w:t>固定，无松动</w:t>
                  </w:r>
                </w:p>
              </w:tc>
            </w:tr>
          </w:tbl>
          <w:p>
            <w:pPr>
              <w:pStyle w:val="2"/>
            </w:pPr>
          </w:p>
          <w:p>
            <w:pPr>
              <w:pStyle w:val="2"/>
            </w:pPr>
            <w:r>
              <w:rPr>
                <w:rFonts w:hint="eastAsia"/>
              </w:rPr>
              <w:t>三、项目要求</w:t>
            </w:r>
          </w:p>
          <w:p>
            <w:pPr>
              <w:pStyle w:val="2"/>
            </w:pPr>
            <w:r>
              <w:rPr>
                <w:rFonts w:hint="eastAsia"/>
              </w:rPr>
              <w:t>（一）电梯维保服务标准和要求</w:t>
            </w:r>
          </w:p>
          <w:p>
            <w:pPr>
              <w:pStyle w:val="2"/>
            </w:pPr>
            <w:r>
              <w:rPr>
                <w:rFonts w:hint="eastAsia"/>
              </w:rPr>
              <w:t>1.成交人按照《电梯监督检验和定期检验规则-曳引与强制驱动电梯》（TSG T7001-2009，含第1号修改单和第2号修改单）、《特种设备使用管理规则》（TSG 08-2017）、《电梯维护保养规则》（TSG T5001-2017）电梯日常维护保养规范等有关标准和要求为乘客电梯提供日常检查、保养、维修、应急处理及年检服务等，对电梯的正常安全运行负责，保障设备整机、零部件及相关配套的附属设施完好无损。</w:t>
            </w:r>
          </w:p>
          <w:p>
            <w:pPr>
              <w:pStyle w:val="2"/>
            </w:pPr>
            <w:r>
              <w:rPr>
                <w:rFonts w:hint="eastAsia"/>
              </w:rPr>
              <w:t>2.成交人应按国家规定的电梯维修保养规程进行保养工作。完成半月、季度、半年、年度维保，并做好记录，确保电梯正常运行。</w:t>
            </w:r>
          </w:p>
          <w:p>
            <w:pPr>
              <w:pStyle w:val="2"/>
            </w:pPr>
            <w:r>
              <w:rPr>
                <w:rFonts w:hint="eastAsia"/>
              </w:rPr>
              <w:t>3.成交人每年度至少进行一次自行检查，在特种设备检验检测机构定期检验之前进行自行检查，检查项目不少于年度维保和电梯定期检验规定的项目及内容，并且向采购人出具有自行检查和审核人员的签字、加盖成交人公章或其他专用章的自行检查记录或者报告。</w:t>
            </w:r>
          </w:p>
          <w:p>
            <w:pPr>
              <w:pStyle w:val="2"/>
            </w:pPr>
            <w:r>
              <w:rPr>
                <w:rFonts w:hint="eastAsia"/>
              </w:rPr>
              <w:t>4.成交人的质量检查人员或管理人员应对电梯的维保质量进行不定期检查，并且进行记录。</w:t>
            </w:r>
          </w:p>
          <w:p>
            <w:pPr>
              <w:pStyle w:val="2"/>
            </w:pPr>
            <w:r>
              <w:rPr>
                <w:rFonts w:hint="eastAsia"/>
              </w:rPr>
              <w:t>5.成交人按《电梯维护保养规则》要求配合使用单位制定应急措施和救援方案，至少每半年针对电梯、进行一次应急演练。</w:t>
            </w:r>
          </w:p>
          <w:p>
            <w:pPr>
              <w:pStyle w:val="2"/>
            </w:pPr>
            <w:r>
              <w:rPr>
                <w:rFonts w:hint="eastAsia"/>
              </w:rPr>
              <w:t>6.参加采购人要求的有关会议；完成采购人临时安排的紧急工作。</w:t>
            </w:r>
          </w:p>
          <w:p>
            <w:pPr>
              <w:pStyle w:val="2"/>
            </w:pPr>
            <w:r>
              <w:rPr>
                <w:rFonts w:hint="eastAsia"/>
              </w:rPr>
              <w:t>7.成交人在完成合同后应向采购人移交维保资料，维保资料应符合《电梯监督检验和定期检验规则-曳引与强制驱动电梯》（TSG T7001-2009，含第1号修改单和第2号修改单）、《特种设备使用管理规则》（TSG 08-2017）、《电梯维护保养规则》（TSG T5001-2017）的要求。</w:t>
            </w:r>
          </w:p>
          <w:p>
            <w:pPr>
              <w:pStyle w:val="2"/>
            </w:pPr>
            <w:r>
              <w:rPr>
                <w:rFonts w:hint="eastAsia"/>
              </w:rPr>
              <w:t>（二） 电梯日常运行和保洁要求</w:t>
            </w:r>
          </w:p>
          <w:p>
            <w:pPr>
              <w:pStyle w:val="2"/>
            </w:pPr>
            <w:r>
              <w:rPr>
                <w:rFonts w:hint="eastAsia"/>
              </w:rPr>
              <w:t>1.采购人委托成交人对电梯设备及附属设施进行维保，保证机房环境和消防、卫生等满足设备运行的条件。</w:t>
            </w:r>
          </w:p>
          <w:p>
            <w:pPr>
              <w:pStyle w:val="2"/>
            </w:pPr>
            <w:r>
              <w:rPr>
                <w:rFonts w:hint="eastAsia"/>
              </w:rPr>
              <w:t>2.成交人应按采购人要求，安排电梯维保人员在电梯运行时间为日历日（含工作日及国家、地方规定的节假日）工作期间要严格遵守执行电梯使用安全管理制度，确保电梯安全使用。维保人员接到故障通知应在2个小时内到现场处理。</w:t>
            </w:r>
          </w:p>
          <w:p>
            <w:pPr>
              <w:pStyle w:val="2"/>
            </w:pPr>
            <w:r>
              <w:rPr>
                <w:rFonts w:hint="eastAsia"/>
              </w:rPr>
              <w:t>3.电梯属于特种设备，所有上岗人员均要持证上岗（特种设备作业人员资格证A4、或T1、T2），并且要定期参加岗位培训，成交人需提供上岗人员名单、联系方式、值班记录和应急事件处置预案。</w:t>
            </w:r>
          </w:p>
          <w:p>
            <w:pPr>
              <w:pStyle w:val="2"/>
            </w:pPr>
            <w:r>
              <w:rPr>
                <w:rFonts w:hint="eastAsia"/>
              </w:rPr>
              <w:t>（三）电梯维护保养除满足国家、地方相关要求外，还须包含以下内容</w:t>
            </w:r>
          </w:p>
          <w:p>
            <w:pPr>
              <w:pStyle w:val="2"/>
            </w:pPr>
            <w:r>
              <w:rPr>
                <w:rFonts w:hint="eastAsia"/>
              </w:rPr>
              <w:t>1.保养前须先了解电梯运行情况，并挂警告牌或者放置隔离警戒护栏，才能开展维保工作;</w:t>
            </w:r>
          </w:p>
          <w:p>
            <w:pPr>
              <w:pStyle w:val="2"/>
            </w:pPr>
            <w:r>
              <w:rPr>
                <w:rFonts w:hint="eastAsia"/>
              </w:rPr>
              <w:t>2.优先处理紧急情况；</w:t>
            </w:r>
          </w:p>
          <w:p>
            <w:pPr>
              <w:pStyle w:val="2"/>
            </w:pPr>
            <w:r>
              <w:rPr>
                <w:rFonts w:hint="eastAsia"/>
              </w:rPr>
              <w:t>3.井道、轿顶、轿厢、底坑的卫生清洁；</w:t>
            </w:r>
          </w:p>
          <w:p>
            <w:pPr>
              <w:pStyle w:val="2"/>
            </w:pPr>
            <w:r>
              <w:rPr>
                <w:rFonts w:hint="eastAsia"/>
              </w:rPr>
              <w:t>4.应急灯、警铃、电话和轿内指层灯、各按钮、控制开关等功能完好、无破损现象；</w:t>
            </w:r>
          </w:p>
          <w:p>
            <w:pPr>
              <w:pStyle w:val="2"/>
            </w:pPr>
            <w:r>
              <w:rPr>
                <w:rFonts w:hint="eastAsia"/>
              </w:rPr>
              <w:t>5.安全触板、光电保护及其它保护装置动作符合相关要求；</w:t>
            </w:r>
          </w:p>
          <w:p>
            <w:pPr>
              <w:pStyle w:val="2"/>
            </w:pPr>
            <w:r>
              <w:rPr>
                <w:rFonts w:hint="eastAsia"/>
              </w:rPr>
              <w:t>6.各层厅外指层灯、到站钟和召唤按钮、消防开关功能完好；</w:t>
            </w:r>
          </w:p>
          <w:p>
            <w:pPr>
              <w:pStyle w:val="2"/>
            </w:pPr>
            <w:r>
              <w:rPr>
                <w:rFonts w:hint="eastAsia"/>
              </w:rPr>
              <w:t>7.厅门、滑块、强迫关门装置、厅门上/下坎等外观清洁，各部分间隙符合相关要求；</w:t>
            </w:r>
          </w:p>
          <w:p>
            <w:pPr>
              <w:pStyle w:val="2"/>
            </w:pPr>
            <w:r>
              <w:rPr>
                <w:rFonts w:hint="eastAsia"/>
              </w:rPr>
              <w:t>8.轿门上/下坎、滑轮、门刀组件、轿门机构和开关门机构等，动作灵活，无撞击声，噪音低；</w:t>
            </w:r>
          </w:p>
          <w:p>
            <w:pPr>
              <w:pStyle w:val="2"/>
            </w:pPr>
            <w:r>
              <w:rPr>
                <w:rFonts w:hint="eastAsia"/>
              </w:rPr>
              <w:t>9.开关、检修箱功能完好，安全窗、急停、安全钳开关、检修箱装置等功能完好；</w:t>
            </w:r>
          </w:p>
          <w:p>
            <w:pPr>
              <w:pStyle w:val="2"/>
            </w:pPr>
            <w:r>
              <w:rPr>
                <w:rFonts w:hint="eastAsia"/>
              </w:rPr>
              <w:t>10.感应器、井道信息装置清洁无破损、无断线脱线现象；</w:t>
            </w:r>
          </w:p>
          <w:p>
            <w:pPr>
              <w:pStyle w:val="2"/>
            </w:pPr>
            <w:r>
              <w:rPr>
                <w:rFonts w:hint="eastAsia"/>
              </w:rPr>
              <w:t>11.曳引钢丝绳、绳头组合、限速器钢丝绳、张紧度合适，无断股、松动现象；</w:t>
            </w:r>
          </w:p>
          <w:p>
            <w:pPr>
              <w:pStyle w:val="2"/>
            </w:pPr>
            <w:r>
              <w:rPr>
                <w:rFonts w:hint="eastAsia"/>
              </w:rPr>
              <w:t>12.各限位开关、限速开关、极限开关等动作灵活、功能可靠；</w:t>
            </w:r>
          </w:p>
          <w:p>
            <w:pPr>
              <w:pStyle w:val="2"/>
            </w:pPr>
            <w:r>
              <w:rPr>
                <w:rFonts w:hint="eastAsia"/>
              </w:rPr>
              <w:t>13.曳引机、制动器及电动机检查；</w:t>
            </w:r>
          </w:p>
          <w:p>
            <w:pPr>
              <w:pStyle w:val="2"/>
            </w:pPr>
            <w:r>
              <w:rPr>
                <w:rFonts w:hint="eastAsia"/>
              </w:rPr>
              <w:t>14.控制柜各项检查、过流装置、短路保护及接触器检查、限速器安全钳联动试验；</w:t>
            </w:r>
          </w:p>
          <w:p>
            <w:pPr>
              <w:pStyle w:val="2"/>
            </w:pPr>
            <w:r>
              <w:rPr>
                <w:rFonts w:hint="eastAsia"/>
              </w:rPr>
              <w:t>15.各润滑系统和油位；</w:t>
            </w:r>
          </w:p>
          <w:p>
            <w:pPr>
              <w:pStyle w:val="2"/>
            </w:pPr>
            <w:r>
              <w:rPr>
                <w:rFonts w:hint="eastAsia"/>
              </w:rPr>
              <w:t>16.轿厢内应急灯功能完好；</w:t>
            </w:r>
          </w:p>
          <w:p>
            <w:pPr>
              <w:pStyle w:val="2"/>
            </w:pPr>
            <w:r>
              <w:rPr>
                <w:rFonts w:hint="eastAsia"/>
              </w:rPr>
              <w:t>17.轿厢内与机房或外部的对讲系统功能完好。</w:t>
            </w:r>
          </w:p>
          <w:p>
            <w:pPr>
              <w:pStyle w:val="2"/>
            </w:pPr>
            <w:r>
              <w:rPr>
                <w:rFonts w:hint="eastAsia"/>
              </w:rPr>
              <w:t>（四）成交人自备维保工具、通讯工具及交通工具</w:t>
            </w:r>
          </w:p>
          <w:p>
            <w:pPr>
              <w:pStyle w:val="2"/>
            </w:pPr>
            <w:r>
              <w:rPr>
                <w:rFonts w:hint="eastAsia"/>
              </w:rPr>
              <w:t>1.投标人成交后必须为本项目设立相应的服务人员，人员应保持相对固定。</w:t>
            </w:r>
          </w:p>
          <w:p>
            <w:pPr>
              <w:pStyle w:val="2"/>
            </w:pPr>
            <w:r>
              <w:rPr>
                <w:rFonts w:hint="eastAsia"/>
              </w:rPr>
              <w:t>2.组织成员必须是富有经验的专业技术人员，负责对内对外的各种事务协调、技术服务工作。服务组织机构中必须设立项目安全负责人，并对安全文明服务工作负责，保证一切安全措施符合相关要求。</w:t>
            </w:r>
          </w:p>
          <w:p>
            <w:pPr>
              <w:pStyle w:val="2"/>
            </w:pPr>
            <w:r>
              <w:rPr>
                <w:rFonts w:hint="eastAsia"/>
              </w:rPr>
              <w:t>3.竞标人成交后提供组成人员的名单、工作时间安排、工作职责及联系方式等详细情况。</w:t>
            </w:r>
          </w:p>
          <w:p>
            <w:pPr>
              <w:pStyle w:val="2"/>
            </w:pPr>
            <w:r>
              <w:rPr>
                <w:rFonts w:hint="eastAsia"/>
              </w:rPr>
              <w:t>4.成交人进行维护保养设备所需的材料、工具、仪表、检测元件在维修联络点应备有充足的备品备件及易损件。</w:t>
            </w:r>
          </w:p>
          <w:p>
            <w:pPr>
              <w:pStyle w:val="2"/>
            </w:pPr>
            <w:r>
              <w:rPr>
                <w:rFonts w:hint="eastAsia"/>
              </w:rPr>
              <w:t>5.竞标人所提供的产品和服务除满足本技术要求外，也须符合现行相关规范标准。</w:t>
            </w:r>
          </w:p>
          <w:p>
            <w:pPr>
              <w:pStyle w:val="2"/>
            </w:pPr>
            <w:r>
              <w:rPr>
                <w:rFonts w:hint="eastAsia"/>
              </w:rPr>
              <w:t>（五）其他要求</w:t>
            </w:r>
          </w:p>
          <w:p>
            <w:pPr>
              <w:pStyle w:val="2"/>
            </w:pPr>
            <w:r>
              <w:rPr>
                <w:rFonts w:hint="eastAsia"/>
              </w:rPr>
              <w:t>1.成交人定期派出专业人员到采购人电梯进行检查保养,以便能及时发现并排除各种故障隐患，每次检查保养工作结束后，须向采购人提交书面技术服务报告。</w:t>
            </w:r>
          </w:p>
          <w:p>
            <w:pPr>
              <w:pStyle w:val="2"/>
            </w:pPr>
            <w:r>
              <w:rPr>
                <w:rFonts w:hint="eastAsia"/>
              </w:rPr>
              <w:t>2.成交人应为采购人提供技术咨询指导服务，负责提供检查、检修、检测、保养电梯所需的工具、仪表及相关设备。</w:t>
            </w:r>
          </w:p>
          <w:p>
            <w:pPr>
              <w:pStyle w:val="2"/>
            </w:pPr>
            <w:r>
              <w:rPr>
                <w:rFonts w:hint="eastAsia"/>
              </w:rPr>
              <w:t>3.成交人必须确保所招标维保电梯在维保期间通过广西特种设备检验院合格的年度检测。</w:t>
            </w:r>
          </w:p>
          <w:p>
            <w:pPr>
              <w:pStyle w:val="2"/>
            </w:pPr>
            <w:r>
              <w:rPr>
                <w:rFonts w:hint="eastAsia"/>
              </w:rPr>
              <w:t>4.成交人未能按合同要求完成上述约定的工作的，采购人有权解除合同，并由成交人承担相应的违约责任。</w:t>
            </w:r>
          </w:p>
          <w:p>
            <w:pPr>
              <w:pStyle w:val="2"/>
            </w:pPr>
            <w:r>
              <w:rPr>
                <w:rFonts w:hint="eastAsia"/>
              </w:rPr>
              <w:t>5.如设备出现非人为的故障或不可抗拒的自然灾难造成的损坏，成交人不负赔偿责任，但成交人有责任尽最大努力和最快速度进行抢修机组，使机组尽快恢复正常运行。</w:t>
            </w:r>
          </w:p>
          <w:p>
            <w:pPr>
              <w:pStyle w:val="2"/>
            </w:pPr>
            <w:r>
              <w:rPr>
                <w:rFonts w:hint="eastAsia"/>
              </w:rPr>
              <w:t>6、合同期内，设备使用、管理等与本项目相关所引起的安全事故责任全部由成交人承担。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10210" w:type="dxa"/>
            <w:gridSpan w:val="3"/>
            <w:tcBorders>
              <w:top w:val="single" w:color="auto" w:sz="4" w:space="0"/>
              <w:left w:val="single" w:color="auto" w:sz="4" w:space="0"/>
              <w:bottom w:val="single" w:color="auto" w:sz="4" w:space="0"/>
            </w:tcBorders>
            <w:vAlign w:val="center"/>
          </w:tcPr>
          <w:p>
            <w:pPr>
              <w:pStyle w:val="2"/>
            </w:pPr>
            <w:r>
              <w:rPr>
                <w:rFonts w:hint="eastAsia"/>
              </w:rPr>
              <w:t>一、合同签订期：自采购结果公告结束之日起7个工作日内。</w:t>
            </w:r>
          </w:p>
          <w:p>
            <w:pPr>
              <w:pStyle w:val="2"/>
            </w:pPr>
            <w:r>
              <w:rPr>
                <w:rFonts w:hint="eastAsia"/>
              </w:rPr>
              <w:t>★二、提交服务成果时间：自合同签订之日起一年。</w:t>
            </w:r>
          </w:p>
          <w:p>
            <w:pPr>
              <w:pStyle w:val="2"/>
            </w:pPr>
            <w:r>
              <w:rPr>
                <w:rFonts w:hint="eastAsia"/>
              </w:rPr>
              <w:t>三、提交服务成果地点：南宁中心血站业务大楼。</w:t>
            </w:r>
          </w:p>
          <w:p>
            <w:pPr>
              <w:pStyle w:val="2"/>
            </w:pPr>
            <w:r>
              <w:rPr>
                <w:rFonts w:hint="eastAsia"/>
              </w:rPr>
              <w:t>四、售后服务要求：</w:t>
            </w:r>
          </w:p>
          <w:p>
            <w:pPr>
              <w:pStyle w:val="2"/>
            </w:pPr>
            <w:r>
              <w:rPr>
                <w:rFonts w:hint="eastAsia"/>
              </w:rPr>
              <w:t>★1、服务期限：自合同签订之日起1年。服务期满后，采购人可以视成交人的服务质量情况，在服务及服务价格不变的情况下，决定是否续签服务合同。</w:t>
            </w:r>
          </w:p>
          <w:p>
            <w:pPr>
              <w:pStyle w:val="2"/>
              <w:numPr>
                <w:ilvl w:val="0"/>
                <w:numId w:val="4"/>
              </w:numPr>
            </w:pPr>
            <w:r>
              <w:rPr>
                <w:rFonts w:hint="eastAsia"/>
              </w:rPr>
              <w:t>处理问题响应时间：接到采购人处理问题通知后2小时内到达采购人指定现场。</w:t>
            </w:r>
          </w:p>
          <w:p>
            <w:pPr>
              <w:pStyle w:val="2"/>
            </w:pPr>
            <w:r>
              <w:rPr>
                <w:rFonts w:hint="eastAsia"/>
              </w:rPr>
              <w:t>五、其他要求：</w:t>
            </w:r>
          </w:p>
          <w:p>
            <w:pPr>
              <w:pStyle w:val="2"/>
            </w:pPr>
            <w:r>
              <w:rPr>
                <w:rFonts w:hint="eastAsia"/>
              </w:rPr>
              <w:t>★1、报价必须含以下部分：</w:t>
            </w:r>
          </w:p>
          <w:p>
            <w:pPr>
              <w:pStyle w:val="2"/>
              <w:numPr>
                <w:ilvl w:val="0"/>
                <w:numId w:val="5"/>
              </w:numPr>
            </w:pPr>
            <w:r>
              <w:rPr>
                <w:rFonts w:hint="eastAsia"/>
              </w:rPr>
              <w:t>服务价格；</w:t>
            </w:r>
          </w:p>
          <w:p>
            <w:pPr>
              <w:pStyle w:val="2"/>
            </w:pPr>
            <w:r>
              <w:rPr>
                <w:rFonts w:hint="eastAsia"/>
              </w:rPr>
              <w:t>（2）各项费用包括：</w:t>
            </w:r>
          </w:p>
          <w:p>
            <w:pPr>
              <w:pStyle w:val="2"/>
            </w:pPr>
            <w:r>
              <w:rPr>
                <w:rFonts w:hint="eastAsia"/>
              </w:rPr>
              <w:sym w:font="Wingdings" w:char="F081"/>
            </w:r>
            <w:r>
              <w:rPr>
                <w:rFonts w:hint="eastAsia"/>
              </w:rPr>
              <w:t>管理、服务人员的工资和按规定提取的福利费、保险费等。</w:t>
            </w:r>
          </w:p>
          <w:p>
            <w:pPr>
              <w:pStyle w:val="2"/>
            </w:pPr>
            <w:r>
              <w:rPr>
                <w:rFonts w:hint="eastAsia"/>
              </w:rPr>
              <w:sym w:font="Wingdings" w:char="F082"/>
            </w:r>
            <w:r>
              <w:rPr>
                <w:rFonts w:hint="eastAsia"/>
              </w:rPr>
              <w:t>服务单位的办公费、固定资产折旧费、利润。</w:t>
            </w:r>
          </w:p>
          <w:p>
            <w:pPr>
              <w:pStyle w:val="2"/>
            </w:pPr>
            <w:r>
              <w:rPr>
                <w:rFonts w:hint="eastAsia"/>
              </w:rPr>
              <w:sym w:font="Wingdings" w:char="F083"/>
            </w:r>
            <w:r>
              <w:rPr>
                <w:rFonts w:hint="eastAsia"/>
              </w:rPr>
              <w:t>培训、技术支持、售后服务、项目交接期属于成交人应支付的费用。</w:t>
            </w:r>
          </w:p>
          <w:p>
            <w:pPr>
              <w:pStyle w:val="2"/>
            </w:pPr>
            <w:r>
              <w:rPr>
                <w:rFonts w:hint="eastAsia"/>
              </w:rPr>
              <w:t>④各种税费。</w:t>
            </w:r>
          </w:p>
          <w:p>
            <w:pPr>
              <w:pStyle w:val="2"/>
            </w:pPr>
            <w:r>
              <w:rPr>
                <w:rFonts w:hint="eastAsia"/>
              </w:rPr>
              <w:t>★2、报价不含维修养护所需配件以及杀菌消毒所需药品部分。</w:t>
            </w:r>
          </w:p>
          <w:p>
            <w:pPr>
              <w:pStyle w:val="2"/>
            </w:pPr>
            <w:r>
              <w:rPr>
                <w:rFonts w:hint="eastAsia"/>
              </w:rPr>
              <w:t>3、成交单位不得将整体管理责任及利益转让给其他单位和个人。</w:t>
            </w:r>
          </w:p>
          <w:p>
            <w:pPr>
              <w:pStyle w:val="2"/>
            </w:pPr>
            <w:r>
              <w:rPr>
                <w:rFonts w:hint="eastAsia"/>
              </w:rPr>
              <w:t>4、报价人在南宁市区内设有合法正规经营场所，或报价人承诺成交后在南宁市区内设立售后服务机构。</w:t>
            </w:r>
          </w:p>
          <w:p>
            <w:pPr>
              <w:pStyle w:val="2"/>
            </w:pPr>
            <w:r>
              <w:rPr>
                <w:rFonts w:hint="eastAsia"/>
              </w:rPr>
              <w:t>5、具有较强技术和服务能力，配有较强的专业技术服务队伍，能提供快速的服务响应。</w:t>
            </w:r>
          </w:p>
          <w:p>
            <w:pPr>
              <w:pStyle w:val="2"/>
              <w:rPr>
                <w:rFonts w:ascii="宋体" w:hAnsi="宋体"/>
              </w:rPr>
            </w:pPr>
            <w:r>
              <w:rPr>
                <w:rFonts w:hint="eastAsia"/>
              </w:rPr>
              <w:t>六、</w:t>
            </w:r>
            <w:r>
              <w:rPr>
                <w:rFonts w:hint="eastAsia" w:ascii="宋体" w:hAnsi="宋体"/>
              </w:rPr>
              <w:t>付款方式：</w:t>
            </w:r>
          </w:p>
          <w:p>
            <w:pPr>
              <w:pStyle w:val="2"/>
              <w:rPr>
                <w:rFonts w:ascii="宋体" w:hAnsi="宋体"/>
                <w:color w:val="auto"/>
              </w:rPr>
            </w:pPr>
            <w:r>
              <w:rPr>
                <w:rFonts w:hint="eastAsia" w:ascii="宋体" w:hAnsi="宋体"/>
                <w:color w:val="auto"/>
              </w:rPr>
              <w:t>1、本项目合同签订后15个工作日内支付50%预付款，合同期满并验收合格后支付剩余服务款。</w:t>
            </w:r>
          </w:p>
          <w:p>
            <w:pPr>
              <w:pStyle w:val="2"/>
              <w:rPr>
                <w:rFonts w:ascii="宋体" w:hAnsi="宋体"/>
                <w:color w:val="auto"/>
              </w:rPr>
            </w:pPr>
            <w:r>
              <w:rPr>
                <w:rFonts w:hint="eastAsia" w:ascii="宋体" w:hAnsi="宋体"/>
                <w:color w:val="auto"/>
              </w:rPr>
              <w:t>2、采购方付款前需收到服务商开具的正规发票。</w:t>
            </w:r>
          </w:p>
          <w:p>
            <w:pPr>
              <w:pStyle w:val="2"/>
              <w:rPr>
                <w:rFonts w:ascii="宋体" w:hAnsi="宋体"/>
                <w:color w:val="auto"/>
              </w:rPr>
            </w:pPr>
            <w:r>
              <w:rPr>
                <w:rFonts w:hint="eastAsia"/>
                <w:color w:val="auto"/>
              </w:rPr>
              <w:t>七、</w:t>
            </w:r>
            <w:r>
              <w:rPr>
                <w:rFonts w:hint="eastAsia" w:ascii="宋体" w:hAnsi="宋体"/>
                <w:color w:val="auto"/>
              </w:rPr>
              <w:t>验收标准：</w:t>
            </w:r>
          </w:p>
          <w:p>
            <w:pPr>
              <w:pStyle w:val="2"/>
              <w:rPr>
                <w:rFonts w:ascii="宋体" w:hAnsi="宋体"/>
                <w:color w:val="auto"/>
              </w:rPr>
            </w:pPr>
            <w:r>
              <w:rPr>
                <w:rFonts w:hint="eastAsia" w:ascii="宋体" w:hAnsi="宋体"/>
                <w:color w:val="auto"/>
              </w:rPr>
              <w:t>1、本项目完成后供应商可向采购人提出申请验收。</w:t>
            </w:r>
          </w:p>
          <w:p>
            <w:pPr>
              <w:pStyle w:val="2"/>
              <w:rPr>
                <w:rFonts w:ascii="宋体" w:hAnsi="宋体"/>
                <w:color w:val="auto"/>
              </w:rPr>
            </w:pPr>
            <w:r>
              <w:rPr>
                <w:rFonts w:hint="eastAsia" w:ascii="宋体" w:hAnsi="宋体"/>
                <w:color w:val="auto"/>
              </w:rPr>
              <w:t>2、采购人将组织验收小组对供应商的服务情况进行验收，验收着重考察供应商所提供的服务是否满足本项目服务要求，验收完成后验收小组将出具验收报告。</w:t>
            </w:r>
          </w:p>
          <w:p>
            <w:pPr>
              <w:pStyle w:val="2"/>
              <w:rPr>
                <w:rFonts w:ascii="宋体" w:hAnsi="宋体"/>
              </w:rPr>
            </w:pPr>
            <w:r>
              <w:rPr>
                <w:rFonts w:hint="eastAsia" w:ascii="宋体" w:hAnsi="宋体"/>
                <w:color w:val="auto"/>
              </w:rPr>
              <w:t>3、首次验收不合格的，可由供应商在收到验收报告之日起5个工作日内申请重新验收，若重新验收不合格的，则将被视为违约。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8E59C8"/>
    <w:multiLevelType w:val="singleLevel"/>
    <w:tmpl w:val="CF8E59C8"/>
    <w:lvl w:ilvl="0" w:tentative="0">
      <w:start w:val="1"/>
      <w:numFmt w:val="chineseCounting"/>
      <w:suff w:val="nothing"/>
      <w:lvlText w:val="%1、"/>
      <w:lvlJc w:val="left"/>
      <w:rPr>
        <w:rFonts w:hint="eastAsia"/>
      </w:rPr>
    </w:lvl>
  </w:abstractNum>
  <w:abstractNum w:abstractNumId="1">
    <w:nsid w:val="E6FA279B"/>
    <w:multiLevelType w:val="singleLevel"/>
    <w:tmpl w:val="E6FA279B"/>
    <w:lvl w:ilvl="0" w:tentative="0">
      <w:start w:val="1"/>
      <w:numFmt w:val="decimal"/>
      <w:suff w:val="nothing"/>
      <w:lvlText w:val="（%1）"/>
      <w:lvlJc w:val="left"/>
    </w:lvl>
  </w:abstractNum>
  <w:abstractNum w:abstractNumId="2">
    <w:nsid w:val="21921C98"/>
    <w:multiLevelType w:val="singleLevel"/>
    <w:tmpl w:val="21921C98"/>
    <w:lvl w:ilvl="0" w:tentative="0">
      <w:start w:val="2"/>
      <w:numFmt w:val="decimal"/>
      <w:suff w:val="nothing"/>
      <w:lvlText w:val="%1、"/>
      <w:lvlJc w:val="left"/>
    </w:lvl>
  </w:abstractNum>
  <w:abstractNum w:abstractNumId="3">
    <w:nsid w:val="25E3391F"/>
    <w:multiLevelType w:val="multilevel"/>
    <w:tmpl w:val="25E3391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5295D75"/>
    <w:multiLevelType w:val="singleLevel"/>
    <w:tmpl w:val="65295D75"/>
    <w:lvl w:ilvl="0" w:tentative="0">
      <w:start w:val="1"/>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B0C4B"/>
    <w:rsid w:val="24AB0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3">
    <w:name w:val="Plain Text"/>
    <w:basedOn w:val="1"/>
    <w:qFormat/>
    <w:uiPriority w:val="99"/>
    <w:rPr>
      <w:rFonts w:ascii="宋体" w:hAnsi="Courier New"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2021-03-11T03:12:00Z</dcterms:created>
  <dc:creator>WPS</dc:creator>
  <cp:lastModifiedBy>WPS</cp:lastModifiedBy>
  <dcterms:modified xsi:type="dcterms:W3CDTF">2021-03-11T03:12:29Z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