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ascii="宋体" w:hAnsi="Courier New"/>
          <w:b/>
          <w:sz w:val="32"/>
          <w:szCs w:val="20"/>
        </w:rPr>
      </w:pPr>
      <w:r>
        <w:rPr>
          <w:rFonts w:hint="eastAsia" w:ascii="宋体" w:hAnsi="Courier New"/>
          <w:b/>
          <w:sz w:val="32"/>
          <w:szCs w:val="20"/>
        </w:rPr>
        <w:t>附件2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bookmarkStart w:id="2" w:name="_GoBack"/>
      <w:r>
        <w:rPr>
          <w:rFonts w:hint="eastAsia" w:hAnsi="宋体"/>
          <w:b/>
          <w:bCs/>
          <w:sz w:val="30"/>
          <w:szCs w:val="30"/>
        </w:rPr>
        <w:t>响应技术资料表</w:t>
      </w:r>
    </w:p>
    <w:bookmarkEnd w:id="2"/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5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57"/>
        <w:gridCol w:w="2125"/>
        <w:gridCol w:w="1340"/>
        <w:gridCol w:w="2765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3382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项目名称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服务名称</w:t>
            </w:r>
          </w:p>
        </w:tc>
        <w:tc>
          <w:tcPr>
            <w:tcW w:w="276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所提供服务的内容</w:t>
            </w:r>
          </w:p>
        </w:tc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  <w:lang w:eastAsia="zh-CN"/>
              </w:rPr>
              <w:t>呼叫中心信息系统升级服务</w:t>
            </w:r>
          </w:p>
        </w:tc>
        <w:tc>
          <w:tcPr>
            <w:tcW w:w="2125" w:type="dxa"/>
            <w:vAlign w:val="center"/>
          </w:tcPr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呼叫中心系统的升级需求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升级呼叫系统包括：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  <w:lang w:val="en-US" w:eastAsia="zh-CN"/>
              </w:rPr>
              <w:t>1、</w:t>
            </w:r>
            <w:r>
              <w:rPr>
                <w:rFonts w:hint="eastAsia"/>
                <w:b/>
                <w:bCs/>
              </w:rPr>
              <w:t>来电排队监控，监控信息包括：排队号码、若为献血者则显示献血者的排队号码、排队姓名、排队时间。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开发独立监控程序， 外线线路状态（呼入号码，姓名，呼入时间，当前状态，排队时长），其中献血者数据，需要南宁中心血站业务系统提供接口（http接口get方式）通过号码调取献血者姓名，独立程序最终最大化显示在大屏幕上。大屏幕相当于监视器接在一个windows客户端计算机上。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  <w:rPr>
                <w:b/>
                <w:bCs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  <w:lang w:val="en-US" w:eastAsia="zh-CN"/>
              </w:rPr>
              <w:t>2、</w:t>
            </w:r>
            <w:r>
              <w:rPr>
                <w:rFonts w:hint="eastAsia"/>
                <w:b/>
                <w:bCs/>
              </w:rPr>
              <w:t>提供每天呼入呼出情况、峰值时段情况。工单报表：需实现可以将话务员待处理的问题或者难处理的问题记录在报表上，交由上一级审批。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报表数据：提供外线呼入呼出记录表数据，提供坐席呼入呼出记录表数据，提供外线峰值时段数据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  <w:rPr>
                <w:b/>
                <w:bCs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  <w:lang w:val="en-US" w:eastAsia="zh-CN"/>
              </w:rPr>
              <w:t>3、</w:t>
            </w:r>
            <w:r>
              <w:rPr>
                <w:rFonts w:hint="eastAsia"/>
                <w:b/>
                <w:bCs/>
              </w:rPr>
              <w:t>IVR实现触发短信，短信内容含H5网页，推送预约界面供献血者填写预约信息。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</w:pPr>
            <w:r>
              <w:rPr>
                <w:rFonts w:hint="eastAsia"/>
              </w:rPr>
              <w:t>IVR触发短信功能：实现IVR在某个节点对接南宁中心血站业务系统接口（http接口get方式），参数（呼入号码，短信类型），触发发送短信功能。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  <w:rPr>
                <w:b/>
                <w:bCs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</w:rPr>
              <w:t>4、每次通话结束后提示献血者按数字键对话务员进行满意度评价。</w:t>
            </w:r>
          </w:p>
          <w:p>
            <w:pPr>
              <w:autoSpaceDE w:val="0"/>
              <w:autoSpaceDN w:val="0"/>
              <w:adjustRightInd w:val="0"/>
              <w:spacing w:line="360" w:lineRule="exact"/>
              <w:ind w:right="84" w:rightChars="40"/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实现坐席与外线通话后，坐席挂机时通过满意度评价功能使外线进行满意度评价。</w:t>
            </w:r>
          </w:p>
          <w:p>
            <w:pPr>
              <w:pStyle w:val="3"/>
              <w:rPr>
                <w:b/>
                <w:bCs/>
              </w:rPr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  <w:bCs/>
              </w:rPr>
              <w:t>5、呼叫中心增加两个坐席，含授权及2台话机及增加坐席其他需要使用的软硬件。</w:t>
            </w:r>
          </w:p>
          <w:p>
            <w:pPr>
              <w:pStyle w:val="3"/>
            </w:pPr>
            <w:r>
              <w:rPr>
                <w:rFonts w:hint="eastAsia"/>
              </w:rPr>
              <w:t>★</w:t>
            </w:r>
            <w:r>
              <w:rPr>
                <w:rFonts w:hint="eastAsia"/>
                <w:b/>
              </w:rPr>
              <w:t>6、实现捐血屋上班时间变更或停采血型能第一时间在系统里显示</w:t>
            </w:r>
            <w:r>
              <w:rPr>
                <w:rFonts w:hint="eastAsia"/>
              </w:rPr>
              <w:t>。</w:t>
            </w:r>
          </w:p>
          <w:p>
            <w:pPr>
              <w:pStyle w:val="3"/>
              <w:rPr>
                <w:rFonts w:hAnsi="宋体"/>
                <w:szCs w:val="21"/>
              </w:rPr>
            </w:pPr>
            <w:r>
              <w:rPr>
                <w:rFonts w:hint="eastAsia"/>
              </w:rPr>
              <w:t>★7、</w:t>
            </w:r>
            <w:r>
              <w:rPr>
                <w:rFonts w:hint="eastAsia"/>
                <w:b/>
                <w:bCs/>
              </w:rPr>
              <w:t>能兼容当前使用的呼叫中心平台，确保能按要求读取原始数据。如涉及到接口开发费用，由</w:t>
            </w:r>
            <w:r>
              <w:rPr>
                <w:rFonts w:hint="eastAsia"/>
                <w:b/>
                <w:bCs/>
                <w:lang w:eastAsia="zh-CN"/>
              </w:rPr>
              <w:t>供应商</w:t>
            </w:r>
            <w:r>
              <w:rPr>
                <w:rFonts w:hint="eastAsia"/>
                <w:b/>
                <w:bCs/>
              </w:rPr>
              <w:t>自行与原系统平台开发商协商解决。</w:t>
            </w:r>
          </w:p>
        </w:tc>
        <w:tc>
          <w:tcPr>
            <w:tcW w:w="1340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  <w:lang w:eastAsia="zh-CN"/>
              </w:rPr>
              <w:t>呼叫中心信息系统升级服务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p>
      <w:pPr>
        <w:pStyle w:val="4"/>
        <w:rPr>
          <w:rFonts w:hint="eastAsia" w:hAnsi="宋体" w:eastAsiaTheme="minorEastAsia"/>
          <w:szCs w:val="21"/>
          <w:lang w:eastAsia="zh-CN"/>
        </w:rPr>
      </w:pPr>
    </w:p>
    <w:p>
      <w:pPr>
        <w:pStyle w:val="4"/>
        <w:rPr>
          <w:rFonts w:hAnsi="宋体"/>
          <w:szCs w:val="21"/>
        </w:rPr>
      </w:pP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4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4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  <w:lang w:eastAsia="zh-CN"/>
        </w:rPr>
        <w:t>响应</w:t>
      </w:r>
      <w:r>
        <w:rPr>
          <w:rFonts w:hint="eastAsia" w:hAnsi="宋体"/>
          <w:szCs w:val="21"/>
        </w:rPr>
        <w:t>人（盖单位公章）：</w:t>
      </w:r>
    </w:p>
    <w:p>
      <w:pPr>
        <w:pStyle w:val="2"/>
        <w:numPr>
          <w:ilvl w:val="3"/>
          <w:numId w:val="0"/>
        </w:numPr>
        <w:ind w:left="1077"/>
      </w:pPr>
    </w:p>
    <w:p>
      <w:pPr>
        <w:pStyle w:val="4"/>
        <w:spacing w:line="400" w:lineRule="exact"/>
        <w:rPr>
          <w:rFonts w:hAnsi="宋体"/>
          <w:szCs w:val="21"/>
        </w:rPr>
      </w:pPr>
      <w:bookmarkStart w:id="0" w:name="_Toc521096352"/>
      <w:bookmarkStart w:id="1" w:name="_Toc460253713"/>
      <w:r>
        <w:rPr>
          <w:rFonts w:hint="eastAsia" w:hAnsi="宋体"/>
          <w:szCs w:val="21"/>
        </w:rPr>
        <w:t>法定代表人或其委托代理人（签字或盖章）：</w:t>
      </w:r>
      <w:bookmarkEnd w:id="0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D539DE"/>
    <w:rsid w:val="4AD53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2021-03-24T02:43:00Z</dcterms:created>
  <dc:creator>WPS</dc:creator>
  <cp:lastModifiedBy>WPS</cp:lastModifiedBy>
  <dcterms:modified xsi:type="dcterms:W3CDTF">2021-03-24T02:44:32Z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9FD2A5BBAA5C43D2A1B34DD198F6153B</vt:lpwstr>
  </property>
</Properties>
</file>