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outlineLvl w:val="0"/>
        <w:rPr>
          <w:rFonts w:ascii="宋体" w:hAnsi="Courier New"/>
          <w:b/>
          <w:sz w:val="32"/>
          <w:szCs w:val="20"/>
        </w:rPr>
      </w:pPr>
      <w:r>
        <w:rPr>
          <w:rFonts w:hint="eastAsia" w:ascii="宋体" w:hAnsi="Courier New"/>
          <w:b/>
          <w:sz w:val="32"/>
          <w:szCs w:val="20"/>
        </w:rPr>
        <w:t>附件2</w:t>
      </w:r>
    </w:p>
    <w:p>
      <w:pPr>
        <w:pStyle w:val="4"/>
        <w:spacing w:line="500" w:lineRule="exact"/>
        <w:jc w:val="center"/>
        <w:rPr>
          <w:rFonts w:hAnsi="宋体"/>
          <w:b/>
          <w:bCs/>
          <w:sz w:val="30"/>
          <w:szCs w:val="30"/>
        </w:rPr>
      </w:pPr>
      <w:bookmarkStart w:id="2" w:name="_GoBack"/>
      <w:r>
        <w:rPr>
          <w:rFonts w:hint="eastAsia" w:hAnsi="宋体"/>
          <w:b/>
          <w:bCs/>
          <w:sz w:val="30"/>
          <w:szCs w:val="30"/>
        </w:rPr>
        <w:t>响应技术资料表</w:t>
      </w:r>
    </w:p>
    <w:bookmarkEnd w:id="2"/>
    <w:p>
      <w:pPr>
        <w:pStyle w:val="4"/>
        <w:ind w:firstLine="210" w:firstLineChars="100"/>
        <w:rPr>
          <w:rFonts w:hAnsi="宋体"/>
        </w:rPr>
      </w:pPr>
    </w:p>
    <w:p>
      <w:pPr>
        <w:pStyle w:val="4"/>
        <w:spacing w:line="440" w:lineRule="exact"/>
        <w:ind w:firstLine="420" w:firstLineChars="200"/>
        <w:rPr>
          <w:rFonts w:asciiTheme="minorEastAsia" w:hAnsiTheme="minorEastAsia"/>
          <w:szCs w:val="21"/>
        </w:rPr>
      </w:pPr>
      <w:r>
        <w:rPr>
          <w:rFonts w:hint="eastAsia" w:asciiTheme="minorEastAsia" w:hAnsiTheme="minorEastAsia"/>
          <w:szCs w:val="21"/>
        </w:rPr>
        <w:t>请根据所响应的实际情况，逐条对应本项目附件1“采购需求一览表”中</w:t>
      </w:r>
      <w:r>
        <w:rPr>
          <w:rFonts w:hAnsi="宋体"/>
          <w:szCs w:val="21"/>
        </w:rPr>
        <w:t>的内容及要求详细填写相应的具体内容</w:t>
      </w:r>
      <w:r>
        <w:rPr>
          <w:rFonts w:hint="eastAsia" w:asciiTheme="minorEastAsia" w:hAnsiTheme="minorEastAsia"/>
          <w:szCs w:val="21"/>
        </w:rPr>
        <w:t>。“偏离说明”一栏选择“正偏离”、“负偏离”或“无偏离”进行填写。</w:t>
      </w:r>
    </w:p>
    <w:p>
      <w:pPr>
        <w:pStyle w:val="4"/>
        <w:rPr>
          <w:rFonts w:hAnsi="宋体"/>
          <w:szCs w:val="21"/>
        </w:rPr>
      </w:pPr>
    </w:p>
    <w:p>
      <w:pPr>
        <w:pStyle w:val="4"/>
        <w:rPr>
          <w:rFonts w:hAnsi="宋体"/>
          <w:szCs w:val="21"/>
        </w:rPr>
      </w:pPr>
      <w:r>
        <w:rPr>
          <w:rFonts w:hint="eastAsia" w:hAnsi="宋体"/>
          <w:szCs w:val="21"/>
          <w:u w:val="single"/>
        </w:rPr>
        <w:t>　　</w:t>
      </w:r>
      <w:r>
        <w:rPr>
          <w:rFonts w:hint="eastAsia" w:hAnsi="宋体"/>
          <w:szCs w:val="21"/>
        </w:rPr>
        <w:t>分项（有分项时填写）</w:t>
      </w:r>
    </w:p>
    <w:tbl>
      <w:tblPr>
        <w:tblStyle w:val="5"/>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1257"/>
        <w:gridCol w:w="2125"/>
        <w:gridCol w:w="1340"/>
        <w:gridCol w:w="2765"/>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735" w:type="dxa"/>
            <w:vMerge w:val="restart"/>
            <w:vAlign w:val="center"/>
          </w:tcPr>
          <w:p>
            <w:pPr>
              <w:pStyle w:val="4"/>
              <w:jc w:val="center"/>
              <w:rPr>
                <w:rFonts w:hAnsi="宋体"/>
                <w:spacing w:val="-20"/>
                <w:szCs w:val="21"/>
              </w:rPr>
            </w:pPr>
            <w:r>
              <w:rPr>
                <w:rFonts w:hint="eastAsia" w:hAnsi="宋体"/>
                <w:spacing w:val="-20"/>
                <w:szCs w:val="21"/>
              </w:rPr>
              <w:t>序号</w:t>
            </w:r>
          </w:p>
        </w:tc>
        <w:tc>
          <w:tcPr>
            <w:tcW w:w="3382" w:type="dxa"/>
            <w:gridSpan w:val="2"/>
            <w:vAlign w:val="center"/>
          </w:tcPr>
          <w:p>
            <w:pPr>
              <w:jc w:val="center"/>
              <w:rPr>
                <w:rFonts w:ascii="宋体"/>
                <w:szCs w:val="21"/>
              </w:rPr>
            </w:pPr>
            <w:r>
              <w:rPr>
                <w:rFonts w:hint="eastAsia" w:ascii="宋体" w:hAnsi="宋体"/>
                <w:szCs w:val="21"/>
              </w:rPr>
              <w:t>采购文件需求</w:t>
            </w:r>
          </w:p>
        </w:tc>
        <w:tc>
          <w:tcPr>
            <w:tcW w:w="4105" w:type="dxa"/>
            <w:gridSpan w:val="2"/>
            <w:vAlign w:val="center"/>
          </w:tcPr>
          <w:p>
            <w:pPr>
              <w:jc w:val="center"/>
              <w:rPr>
                <w:rFonts w:ascii="宋体"/>
                <w:szCs w:val="21"/>
              </w:rPr>
            </w:pPr>
            <w:r>
              <w:rPr>
                <w:rFonts w:hint="eastAsia" w:ascii="宋体" w:hAnsi="宋体"/>
                <w:szCs w:val="21"/>
              </w:rPr>
              <w:t>响应文件承诺</w:t>
            </w:r>
          </w:p>
        </w:tc>
        <w:tc>
          <w:tcPr>
            <w:tcW w:w="1417" w:type="dxa"/>
            <w:vMerge w:val="restart"/>
            <w:vAlign w:val="center"/>
          </w:tcPr>
          <w:p>
            <w:pPr>
              <w:jc w:val="center"/>
              <w:rPr>
                <w:rFonts w:ascii="宋体"/>
                <w:szCs w:val="21"/>
              </w:rPr>
            </w:pPr>
            <w:r>
              <w:rPr>
                <w:rFonts w:hint="eastAsia" w:ascii="宋体" w:hAnsi="宋体"/>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735" w:type="dxa"/>
            <w:vMerge w:val="continue"/>
            <w:vAlign w:val="center"/>
          </w:tcPr>
          <w:p>
            <w:pPr>
              <w:pStyle w:val="4"/>
              <w:jc w:val="center"/>
              <w:rPr>
                <w:rFonts w:hAnsi="宋体"/>
                <w:spacing w:val="-20"/>
                <w:szCs w:val="21"/>
              </w:rPr>
            </w:pPr>
          </w:p>
        </w:tc>
        <w:tc>
          <w:tcPr>
            <w:tcW w:w="1257" w:type="dxa"/>
            <w:vAlign w:val="center"/>
          </w:tcPr>
          <w:p>
            <w:pPr>
              <w:jc w:val="center"/>
              <w:rPr>
                <w:rFonts w:ascii="宋体"/>
                <w:szCs w:val="21"/>
              </w:rPr>
            </w:pPr>
            <w:r>
              <w:rPr>
                <w:rFonts w:hint="eastAsia" w:ascii="宋体" w:hAnsi="宋体"/>
                <w:szCs w:val="21"/>
              </w:rPr>
              <w:t>项目名称</w:t>
            </w:r>
          </w:p>
        </w:tc>
        <w:tc>
          <w:tcPr>
            <w:tcW w:w="2125" w:type="dxa"/>
            <w:vAlign w:val="center"/>
          </w:tcPr>
          <w:p>
            <w:pPr>
              <w:jc w:val="center"/>
              <w:rPr>
                <w:rFonts w:ascii="宋体"/>
                <w:szCs w:val="21"/>
              </w:rPr>
            </w:pPr>
            <w:r>
              <w:rPr>
                <w:rFonts w:hint="eastAsia" w:ascii="宋体" w:hAnsi="宋体"/>
                <w:szCs w:val="21"/>
              </w:rPr>
              <w:t>采购内容及要求</w:t>
            </w:r>
          </w:p>
        </w:tc>
        <w:tc>
          <w:tcPr>
            <w:tcW w:w="1340" w:type="dxa"/>
            <w:vAlign w:val="center"/>
          </w:tcPr>
          <w:p>
            <w:pPr>
              <w:jc w:val="center"/>
              <w:rPr>
                <w:rFonts w:ascii="宋体"/>
                <w:szCs w:val="21"/>
              </w:rPr>
            </w:pPr>
            <w:r>
              <w:rPr>
                <w:rFonts w:hint="eastAsia" w:ascii="宋体" w:hAnsi="宋体"/>
                <w:szCs w:val="21"/>
              </w:rPr>
              <w:t>服务名称</w:t>
            </w:r>
          </w:p>
        </w:tc>
        <w:tc>
          <w:tcPr>
            <w:tcW w:w="2765" w:type="dxa"/>
            <w:vAlign w:val="center"/>
          </w:tcPr>
          <w:p>
            <w:pPr>
              <w:jc w:val="center"/>
              <w:rPr>
                <w:rFonts w:ascii="宋体"/>
                <w:szCs w:val="21"/>
              </w:rPr>
            </w:pPr>
            <w:r>
              <w:rPr>
                <w:rFonts w:hint="eastAsia" w:ascii="宋体" w:hAnsi="宋体"/>
                <w:szCs w:val="21"/>
              </w:rPr>
              <w:t>所提供服务的内容</w:t>
            </w:r>
          </w:p>
        </w:tc>
        <w:tc>
          <w:tcPr>
            <w:tcW w:w="1417" w:type="dxa"/>
            <w:vMerge w:val="continue"/>
            <w:vAlign w:val="center"/>
          </w:tcPr>
          <w:p>
            <w:pPr>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vAlign w:val="center"/>
          </w:tcPr>
          <w:p>
            <w:pPr>
              <w:pStyle w:val="4"/>
              <w:jc w:val="center"/>
              <w:rPr>
                <w:rFonts w:hAnsi="宋体"/>
                <w:spacing w:val="-20"/>
                <w:szCs w:val="21"/>
              </w:rPr>
            </w:pPr>
            <w:r>
              <w:rPr>
                <w:rFonts w:hAnsi="宋体"/>
                <w:spacing w:val="-20"/>
                <w:szCs w:val="21"/>
              </w:rPr>
              <w:t>1</w:t>
            </w:r>
          </w:p>
        </w:tc>
        <w:tc>
          <w:tcPr>
            <w:tcW w:w="1257" w:type="dxa"/>
            <w:vAlign w:val="center"/>
          </w:tcPr>
          <w:p>
            <w:pPr>
              <w:rPr>
                <w:rFonts w:hAnsi="宋体"/>
                <w:szCs w:val="21"/>
              </w:rPr>
            </w:pPr>
            <w:r>
              <w:rPr>
                <w:rFonts w:hint="eastAsia" w:hAnsi="宋体"/>
                <w:szCs w:val="21"/>
                <w:lang w:eastAsia="zh-CN"/>
              </w:rPr>
              <w:t>南宁中心血站</w:t>
            </w:r>
            <w:r>
              <w:rPr>
                <w:rFonts w:hint="eastAsia" w:hAnsi="宋体"/>
                <w:szCs w:val="21"/>
              </w:rPr>
              <w:t>卓越绩效体系培训服务</w:t>
            </w:r>
          </w:p>
        </w:tc>
        <w:tc>
          <w:tcPr>
            <w:tcW w:w="2125" w:type="dxa"/>
            <w:vAlign w:val="center"/>
          </w:tcPr>
          <w:p>
            <w:pPr>
              <w:pStyle w:val="3"/>
              <w:rPr>
                <w:rFonts w:hint="eastAsia"/>
              </w:rPr>
            </w:pPr>
            <w:r>
              <w:rPr>
                <w:rFonts w:hint="eastAsia"/>
              </w:rPr>
              <w:t>一、服务内容</w:t>
            </w:r>
          </w:p>
          <w:p>
            <w:pPr>
              <w:pStyle w:val="3"/>
            </w:pPr>
            <w:r>
              <w:rPr>
                <w:rFonts w:hint="eastAsia"/>
                <w:lang w:val="en-US" w:eastAsia="zh-CN"/>
              </w:rPr>
              <w:t>1、</w:t>
            </w:r>
            <w:r>
              <w:rPr>
                <w:rFonts w:hint="eastAsia"/>
              </w:rPr>
              <w:t>为</w:t>
            </w:r>
            <w:r>
              <w:rPr>
                <w:rFonts w:hint="eastAsia"/>
                <w:lang w:val="en-US" w:eastAsia="zh-CN"/>
              </w:rPr>
              <w:t>采购人</w:t>
            </w:r>
            <w:r>
              <w:rPr>
                <w:rFonts w:hint="eastAsia"/>
              </w:rPr>
              <w:t>提供卓越绩效体系培训服务，包括: 卓越绩效评价准则、卓越绩效过程管理、市长质量奖评定标准及实务、必要的管理者培训、项目组要求的有关培训和答疑。</w:t>
            </w:r>
          </w:p>
          <w:p>
            <w:pPr>
              <w:pStyle w:val="3"/>
            </w:pPr>
            <w:r>
              <w:rPr>
                <w:rFonts w:hint="eastAsia"/>
                <w:lang w:val="en-US" w:eastAsia="zh-CN"/>
              </w:rPr>
              <w:t>2、</w:t>
            </w:r>
            <w:r>
              <w:rPr>
                <w:rFonts w:hint="eastAsia"/>
              </w:rPr>
              <w:t>为</w:t>
            </w:r>
            <w:r>
              <w:rPr>
                <w:rFonts w:hint="eastAsia"/>
                <w:lang w:val="en-US" w:eastAsia="zh-CN"/>
              </w:rPr>
              <w:t>采购人</w:t>
            </w:r>
            <w:r>
              <w:rPr>
                <w:rFonts w:hint="eastAsia"/>
              </w:rPr>
              <w:t>提供技术咨询与技术支持，包括:</w:t>
            </w:r>
          </w:p>
          <w:p>
            <w:pPr>
              <w:pStyle w:val="3"/>
              <w:rPr>
                <w:rFonts w:hint="eastAsia"/>
              </w:rPr>
            </w:pPr>
            <w:r>
              <w:rPr>
                <w:rFonts w:hint="eastAsia"/>
                <w:lang w:eastAsia="zh-CN"/>
              </w:rPr>
              <w:t>①</w:t>
            </w:r>
            <w:r>
              <w:rPr>
                <w:rFonts w:hint="eastAsia"/>
              </w:rPr>
              <w:t>制定</w:t>
            </w:r>
            <w:r>
              <w:t>卓越绩效推进方案，组织开展管理者及项目团队卓越绩效模式培训</w:t>
            </w:r>
            <w:r>
              <w:rPr>
                <w:rFonts w:hint="eastAsia"/>
              </w:rPr>
              <w:t>，</w:t>
            </w:r>
            <w:r>
              <w:t>开展管理系统诊断并确定短期和长期</w:t>
            </w:r>
            <w:r>
              <w:rPr>
                <w:rFonts w:hint="eastAsia"/>
              </w:rPr>
              <w:t>改进项目，确定</w:t>
            </w:r>
            <w:r>
              <w:rPr>
                <w:rFonts w:hint="eastAsia"/>
                <w:lang w:eastAsia="zh-CN"/>
              </w:rPr>
              <w:t>单位</w:t>
            </w:r>
            <w:r>
              <w:rPr>
                <w:rFonts w:hint="eastAsia"/>
              </w:rPr>
              <w:t>战略、梳理管控模型、修订业务流程，建立起科学、规范、统一的卓越绩效管理模型，并逐步在各业务链条导入卓越绩效管理模式，对各管理系统进行有机整合，不断提高卓越绩效管理水平。</w:t>
            </w:r>
          </w:p>
          <w:p>
            <w:pPr>
              <w:pStyle w:val="3"/>
              <w:rPr>
                <w:rFonts w:hint="eastAsia"/>
              </w:rPr>
            </w:pPr>
            <w:r>
              <w:rPr>
                <w:rFonts w:hint="eastAsia"/>
                <w:lang w:eastAsia="zh-CN"/>
              </w:rPr>
              <w:t>②</w:t>
            </w:r>
            <w:r>
              <w:rPr>
                <w:rFonts w:hint="eastAsia"/>
              </w:rPr>
              <w:t>组织开展</w:t>
            </w:r>
            <w:r>
              <w:rPr>
                <w:rFonts w:hint="eastAsia"/>
                <w:lang w:eastAsia="zh-CN"/>
              </w:rPr>
              <w:t>第五届</w:t>
            </w:r>
            <w:r>
              <w:rPr>
                <w:rFonts w:hint="eastAsia"/>
              </w:rPr>
              <w:t>南宁市市长质量奖创奖，提供自评报告编写培训，对接</w:t>
            </w:r>
            <w:r>
              <w:rPr>
                <w:rFonts w:hint="eastAsia"/>
                <w:lang w:val="en-US" w:eastAsia="zh-CN"/>
              </w:rPr>
              <w:t>采购人</w:t>
            </w:r>
            <w:r>
              <w:rPr>
                <w:rFonts w:hint="eastAsia"/>
              </w:rPr>
              <w:t>确定申报材料的编写思路和要点，并负责对自评报告进行编制、审查、修订、整合，组织自评报告的外部专家评审，根据专家评审意见进行修改完善，协助</w:t>
            </w:r>
            <w:r>
              <w:rPr>
                <w:rFonts w:hint="eastAsia"/>
                <w:lang w:val="en-US" w:eastAsia="zh-CN"/>
              </w:rPr>
              <w:t>采购人</w:t>
            </w:r>
            <w:r>
              <w:rPr>
                <w:rFonts w:hint="eastAsia"/>
              </w:rPr>
              <w:t>向南宁市质量强市办公室按时提交申报材料。</w:t>
            </w:r>
          </w:p>
          <w:p>
            <w:pPr>
              <w:pStyle w:val="3"/>
              <w:rPr>
                <w:rFonts w:hint="eastAsia"/>
              </w:rPr>
            </w:pPr>
            <w:r>
              <w:rPr>
                <w:rFonts w:hint="eastAsia"/>
                <w:lang w:eastAsia="zh-CN"/>
              </w:rPr>
              <w:t>③</w:t>
            </w:r>
            <w:r>
              <w:rPr>
                <w:rFonts w:hint="eastAsia"/>
              </w:rPr>
              <w:t>指导</w:t>
            </w:r>
            <w:r>
              <w:rPr>
                <w:rFonts w:hint="eastAsia"/>
                <w:lang w:val="en-US" w:eastAsia="zh-CN"/>
              </w:rPr>
              <w:t>采购人</w:t>
            </w:r>
            <w:r>
              <w:rPr>
                <w:rFonts w:hint="eastAsia"/>
              </w:rPr>
              <w:t>开展现场评审准备工作，包括对</w:t>
            </w:r>
            <w:r>
              <w:rPr>
                <w:rFonts w:hint="eastAsia"/>
                <w:lang w:val="en-US" w:eastAsia="zh-CN"/>
              </w:rPr>
              <w:t>采购人</w:t>
            </w:r>
            <w:r>
              <w:rPr>
                <w:rFonts w:hint="eastAsia"/>
              </w:rPr>
              <w:t>管理者和项目团队进行现场评审迎审培训，指导项目团队编制现场评审汇报资料，组织外部专家开展模拟评审，并负责指导评审后改进，协助完成现场评审迎审工作。指导</w:t>
            </w:r>
            <w:r>
              <w:rPr>
                <w:rFonts w:hint="eastAsia"/>
                <w:lang w:val="en-US" w:eastAsia="zh-CN"/>
              </w:rPr>
              <w:t>采购人</w:t>
            </w:r>
            <w:r>
              <w:rPr>
                <w:rFonts w:hint="eastAsia"/>
              </w:rPr>
              <w:t>参加</w:t>
            </w:r>
            <w:r>
              <w:rPr>
                <w:rFonts w:hint="eastAsia"/>
                <w:lang w:eastAsia="zh-CN"/>
              </w:rPr>
              <w:t>第五届</w:t>
            </w:r>
            <w:r>
              <w:rPr>
                <w:rFonts w:hint="eastAsia"/>
                <w:lang w:val="en-US" w:eastAsia="zh-CN"/>
              </w:rPr>
              <w:t>市长</w:t>
            </w:r>
            <w:r>
              <w:rPr>
                <w:rFonts w:hint="eastAsia"/>
              </w:rPr>
              <w:t>质量奖评审委员会答辩材料编写（PPT制作）及答辩技巧的辅导。</w:t>
            </w:r>
          </w:p>
          <w:p>
            <w:pPr>
              <w:pStyle w:val="3"/>
              <w:rPr>
                <w:rFonts w:hint="eastAsia"/>
                <w:lang w:eastAsia="zh-CN"/>
              </w:rPr>
            </w:pPr>
            <w:r>
              <w:rPr>
                <w:rFonts w:hint="eastAsia"/>
                <w:lang w:val="en-US" w:eastAsia="zh-CN"/>
              </w:rPr>
              <w:t>供应商</w:t>
            </w:r>
            <w:r>
              <w:rPr>
                <w:rFonts w:hint="eastAsia"/>
              </w:rPr>
              <w:t>项目组成人员不少于3人（含项目负责人），其中项目负责人或咨询顾问须根据项目进展计划的时间节点到甲方开展调研、座谈、培训、汇报等相关工作以及甲方发起的会议，并按时完成阶段性工作内容</w:t>
            </w:r>
            <w:r>
              <w:rPr>
                <w:rFonts w:hint="eastAsia"/>
                <w:lang w:eastAsia="zh-CN"/>
              </w:rPr>
              <w:t>。</w:t>
            </w:r>
          </w:p>
          <w:p>
            <w:pPr>
              <w:pStyle w:val="3"/>
              <w:rPr>
                <w:rFonts w:hint="default"/>
                <w:lang w:val="en-US" w:eastAsia="zh-CN"/>
              </w:rPr>
            </w:pPr>
            <w:r>
              <w:rPr>
                <w:rFonts w:hint="eastAsia"/>
                <w:lang w:val="en-US" w:eastAsia="zh-CN"/>
              </w:rPr>
              <w:t>4、</w:t>
            </w:r>
            <w:r>
              <w:rPr>
                <w:rFonts w:hint="eastAsia"/>
              </w:rPr>
              <w:t>免费提供卓越绩效体系建设相关业务售后服务，协助解决体系中遇到的疑难问题等，为</w:t>
            </w:r>
            <w:r>
              <w:rPr>
                <w:rFonts w:hint="eastAsia"/>
                <w:lang w:val="en-US" w:eastAsia="zh-CN"/>
              </w:rPr>
              <w:t>采购人</w:t>
            </w:r>
            <w:r>
              <w:rPr>
                <w:rFonts w:hint="eastAsia"/>
              </w:rPr>
              <w:t>持续发展改进提供建议和意见。</w:t>
            </w:r>
          </w:p>
          <w:p>
            <w:pPr>
              <w:pStyle w:val="3"/>
              <w:rPr>
                <w:rFonts w:hint="eastAsia"/>
                <w:lang w:val="en-US" w:eastAsia="zh-CN"/>
              </w:rPr>
            </w:pPr>
            <w:r>
              <w:rPr>
                <w:rFonts w:hint="eastAsia"/>
                <w:lang w:val="en-US" w:eastAsia="zh-CN"/>
              </w:rPr>
              <w:t>二、其他要求</w:t>
            </w:r>
          </w:p>
          <w:p>
            <w:pPr>
              <w:pStyle w:val="3"/>
              <w:rPr>
                <w:rFonts w:hint="default"/>
                <w:lang w:val="en-US" w:eastAsia="zh-CN"/>
              </w:rPr>
            </w:pPr>
            <w:r>
              <w:rPr>
                <w:rFonts w:hint="default"/>
                <w:lang w:val="en-US" w:eastAsia="zh-CN"/>
              </w:rPr>
              <w:t>1、</w:t>
            </w:r>
            <w:r>
              <w:rPr>
                <w:rFonts w:hint="eastAsia"/>
                <w:lang w:val="en-US" w:eastAsia="zh-CN"/>
              </w:rPr>
              <w:t>供应商</w:t>
            </w:r>
            <w:r>
              <w:rPr>
                <w:rFonts w:hint="default"/>
                <w:lang w:val="en-US" w:eastAsia="zh-CN"/>
              </w:rPr>
              <w:t>在参加甲方组织的比选活动以及签订和履行合同过程中获知的</w:t>
            </w:r>
            <w:r>
              <w:rPr>
                <w:rFonts w:hint="eastAsia"/>
                <w:lang w:val="en-US" w:eastAsia="zh-CN"/>
              </w:rPr>
              <w:t>采购人</w:t>
            </w:r>
            <w:r>
              <w:rPr>
                <w:rFonts w:hint="default"/>
                <w:lang w:val="en-US" w:eastAsia="zh-CN"/>
              </w:rPr>
              <w:t>的技术资料、商业信息、管理策略等，无论在合同期限或合同终止后，均应予以保密，未经</w:t>
            </w:r>
            <w:r>
              <w:rPr>
                <w:rFonts w:hint="eastAsia"/>
                <w:lang w:val="en-US" w:eastAsia="zh-CN"/>
              </w:rPr>
              <w:t>采购人</w:t>
            </w:r>
            <w:r>
              <w:rPr>
                <w:rFonts w:hint="default"/>
                <w:lang w:val="en-US" w:eastAsia="zh-CN"/>
              </w:rPr>
              <w:t>事先书面授权，</w:t>
            </w:r>
            <w:r>
              <w:rPr>
                <w:rFonts w:hint="eastAsia"/>
                <w:lang w:val="en-US" w:eastAsia="zh-CN"/>
              </w:rPr>
              <w:t>供应商</w:t>
            </w:r>
            <w:r>
              <w:rPr>
                <w:rFonts w:hint="default"/>
                <w:lang w:val="en-US" w:eastAsia="zh-CN"/>
              </w:rPr>
              <w:t>不得以任何方式泄密、转让、许可使用及交换，更不能利用相关保密信息进行任何商业活动。若因此给</w:t>
            </w:r>
            <w:r>
              <w:rPr>
                <w:rFonts w:hint="eastAsia"/>
                <w:lang w:val="en-US" w:eastAsia="zh-CN"/>
              </w:rPr>
              <w:t>采购人</w:t>
            </w:r>
            <w:r>
              <w:rPr>
                <w:rFonts w:hint="default"/>
                <w:lang w:val="en-US" w:eastAsia="zh-CN"/>
              </w:rPr>
              <w:t>造成损失的，由</w:t>
            </w:r>
            <w:r>
              <w:rPr>
                <w:rFonts w:hint="eastAsia"/>
                <w:lang w:val="en-US" w:eastAsia="zh-CN"/>
              </w:rPr>
              <w:t>供应商</w:t>
            </w:r>
            <w:r>
              <w:rPr>
                <w:rFonts w:hint="default"/>
                <w:lang w:val="en-US" w:eastAsia="zh-CN"/>
              </w:rPr>
              <w:t>承担全部赔偿责任。国家司法机关、执行机关依法要求披露的除外。</w:t>
            </w:r>
          </w:p>
          <w:p>
            <w:pPr>
              <w:pStyle w:val="3"/>
              <w:rPr>
                <w:rFonts w:hint="default"/>
                <w:lang w:val="en-US" w:eastAsia="zh-CN"/>
              </w:rPr>
            </w:pPr>
            <w:r>
              <w:rPr>
                <w:rFonts w:hint="default"/>
                <w:lang w:val="en-US" w:eastAsia="zh-CN"/>
              </w:rPr>
              <w:t>2、由</w:t>
            </w:r>
            <w:r>
              <w:rPr>
                <w:rFonts w:hint="eastAsia"/>
                <w:lang w:val="en-US" w:eastAsia="zh-CN"/>
              </w:rPr>
              <w:t>采购人</w:t>
            </w:r>
            <w:r>
              <w:rPr>
                <w:rFonts w:hint="default"/>
                <w:lang w:val="en-US" w:eastAsia="zh-CN"/>
              </w:rPr>
              <w:t>提供给</w:t>
            </w:r>
            <w:r>
              <w:rPr>
                <w:rFonts w:hint="eastAsia"/>
                <w:lang w:val="en-US" w:eastAsia="zh-CN"/>
              </w:rPr>
              <w:t>供应商</w:t>
            </w:r>
            <w:r>
              <w:rPr>
                <w:rFonts w:hint="default"/>
                <w:lang w:val="en-US" w:eastAsia="zh-CN"/>
              </w:rPr>
              <w:t>的所有文件、技术资料、电脑软盘、资料图像、音像、物件等，其权属皆归</w:t>
            </w:r>
            <w:r>
              <w:rPr>
                <w:rFonts w:hint="eastAsia"/>
                <w:lang w:val="en-US" w:eastAsia="zh-CN"/>
              </w:rPr>
              <w:t>采购人</w:t>
            </w:r>
            <w:r>
              <w:rPr>
                <w:rFonts w:hint="default"/>
                <w:lang w:val="en-US" w:eastAsia="zh-CN"/>
              </w:rPr>
              <w:t>所有。</w:t>
            </w:r>
            <w:r>
              <w:rPr>
                <w:rFonts w:hint="eastAsia"/>
                <w:lang w:val="en-US" w:eastAsia="zh-CN"/>
              </w:rPr>
              <w:t>供应商</w:t>
            </w:r>
            <w:r>
              <w:rPr>
                <w:rFonts w:hint="default"/>
                <w:lang w:val="en-US" w:eastAsia="zh-CN"/>
              </w:rPr>
              <w:t>由于工作需要知悉该些材料，仅用于内部讨论、设计、制作、授权发布等。除非</w:t>
            </w:r>
            <w:r>
              <w:rPr>
                <w:rFonts w:hint="eastAsia"/>
                <w:lang w:val="en-US" w:eastAsia="zh-CN"/>
              </w:rPr>
              <w:t>采购人</w:t>
            </w:r>
            <w:r>
              <w:rPr>
                <w:rFonts w:hint="default"/>
                <w:lang w:val="en-US" w:eastAsia="zh-CN"/>
              </w:rPr>
              <w:t>书面授权，</w:t>
            </w:r>
            <w:r>
              <w:rPr>
                <w:rFonts w:hint="eastAsia"/>
                <w:lang w:val="en-US" w:eastAsia="zh-CN"/>
              </w:rPr>
              <w:t>供应商</w:t>
            </w:r>
            <w:r>
              <w:rPr>
                <w:rFonts w:hint="default"/>
                <w:lang w:val="en-US" w:eastAsia="zh-CN"/>
              </w:rPr>
              <w:t>不能全部或部分地复制或转载此类信息资料；委托事项完成，此类信息资料和复印件不需要时，应全部退还给</w:t>
            </w:r>
            <w:r>
              <w:rPr>
                <w:rFonts w:hint="eastAsia"/>
                <w:lang w:val="en-US" w:eastAsia="zh-CN"/>
              </w:rPr>
              <w:t>采购人</w:t>
            </w:r>
            <w:r>
              <w:rPr>
                <w:rFonts w:hint="default"/>
                <w:lang w:val="en-US" w:eastAsia="zh-CN"/>
              </w:rPr>
              <w:t>或经</w:t>
            </w:r>
            <w:r>
              <w:rPr>
                <w:rFonts w:hint="eastAsia"/>
                <w:lang w:val="en-US" w:eastAsia="zh-CN"/>
              </w:rPr>
              <w:t>采购人</w:t>
            </w:r>
            <w:r>
              <w:rPr>
                <w:rFonts w:hint="default"/>
                <w:lang w:val="en-US" w:eastAsia="zh-CN"/>
              </w:rPr>
              <w:t>同意后销毁。</w:t>
            </w:r>
          </w:p>
          <w:p>
            <w:pPr>
              <w:pStyle w:val="3"/>
              <w:rPr>
                <w:rFonts w:hAnsi="宋体"/>
                <w:szCs w:val="21"/>
              </w:rPr>
            </w:pPr>
            <w:r>
              <w:rPr>
                <w:rFonts w:hint="default"/>
                <w:lang w:val="en-US" w:eastAsia="zh-CN"/>
              </w:rPr>
              <w:t>3、</w:t>
            </w:r>
            <w:r>
              <w:rPr>
                <w:rFonts w:hint="eastAsia"/>
                <w:lang w:val="en-US" w:eastAsia="zh-CN"/>
              </w:rPr>
              <w:t>供应商</w:t>
            </w:r>
            <w:r>
              <w:rPr>
                <w:rFonts w:hint="default"/>
                <w:lang w:val="en-US" w:eastAsia="zh-CN"/>
              </w:rPr>
              <w:t>应妥善保管</w:t>
            </w:r>
            <w:r>
              <w:rPr>
                <w:rFonts w:hint="eastAsia"/>
                <w:lang w:val="en-US" w:eastAsia="zh-CN"/>
              </w:rPr>
              <w:t>采购</w:t>
            </w:r>
            <w:r>
              <w:rPr>
                <w:rFonts w:hint="default"/>
                <w:lang w:val="en-US" w:eastAsia="zh-CN"/>
              </w:rPr>
              <w:t>提供的文件资料、物件，并保证除参与</w:t>
            </w:r>
            <w:r>
              <w:rPr>
                <w:rFonts w:hint="eastAsia"/>
                <w:lang w:val="en-US" w:eastAsia="zh-CN"/>
              </w:rPr>
              <w:t>采购人</w:t>
            </w:r>
            <w:r>
              <w:rPr>
                <w:rFonts w:hint="default"/>
                <w:lang w:val="en-US" w:eastAsia="zh-CN"/>
              </w:rPr>
              <w:t>委托事项的工作人员外，</w:t>
            </w:r>
            <w:r>
              <w:rPr>
                <w:rFonts w:hint="eastAsia"/>
                <w:lang w:val="en-US" w:eastAsia="zh-CN"/>
              </w:rPr>
              <w:t>供应商</w:t>
            </w:r>
            <w:r>
              <w:rPr>
                <w:rFonts w:hint="default"/>
                <w:lang w:val="en-US" w:eastAsia="zh-CN"/>
              </w:rPr>
              <w:t>其他人员不得翻阅、借取，不得获知其中内容。由于</w:t>
            </w:r>
            <w:r>
              <w:rPr>
                <w:rFonts w:hint="eastAsia"/>
                <w:lang w:val="en-US" w:eastAsia="zh-CN"/>
              </w:rPr>
              <w:t>供应商</w:t>
            </w:r>
            <w:r>
              <w:rPr>
                <w:rFonts w:hint="default"/>
                <w:lang w:val="en-US" w:eastAsia="zh-CN"/>
              </w:rPr>
              <w:t>的过失，导致</w:t>
            </w:r>
            <w:r>
              <w:rPr>
                <w:rFonts w:hint="eastAsia"/>
                <w:lang w:val="en-US" w:eastAsia="zh-CN"/>
              </w:rPr>
              <w:t>采购人</w:t>
            </w:r>
            <w:r>
              <w:rPr>
                <w:rFonts w:hint="default"/>
                <w:lang w:val="en-US" w:eastAsia="zh-CN"/>
              </w:rPr>
              <w:t>文件资料、物件散落或技术秘密间接扩散，</w:t>
            </w:r>
            <w:r>
              <w:rPr>
                <w:rFonts w:hint="eastAsia"/>
                <w:lang w:val="en-US" w:eastAsia="zh-CN"/>
              </w:rPr>
              <w:t>供应商</w:t>
            </w:r>
            <w:r>
              <w:rPr>
                <w:rFonts w:hint="default"/>
                <w:lang w:val="en-US" w:eastAsia="zh-CN"/>
              </w:rPr>
              <w:t>应负相应责任。</w:t>
            </w:r>
          </w:p>
        </w:tc>
        <w:tc>
          <w:tcPr>
            <w:tcW w:w="1340" w:type="dxa"/>
            <w:vAlign w:val="center"/>
          </w:tcPr>
          <w:p>
            <w:pPr>
              <w:rPr>
                <w:rFonts w:hAnsi="宋体"/>
                <w:szCs w:val="21"/>
              </w:rPr>
            </w:pPr>
            <w:r>
              <w:rPr>
                <w:rFonts w:hint="eastAsia" w:hAnsi="宋体"/>
                <w:szCs w:val="21"/>
                <w:lang w:eastAsia="zh-CN"/>
              </w:rPr>
              <w:t>南宁中心血站</w:t>
            </w:r>
            <w:r>
              <w:rPr>
                <w:rFonts w:hint="eastAsia" w:hAnsi="宋体"/>
                <w:szCs w:val="21"/>
              </w:rPr>
              <w:t>卓越绩效体系培训服务</w:t>
            </w:r>
          </w:p>
        </w:tc>
        <w:tc>
          <w:tcPr>
            <w:tcW w:w="2765" w:type="dxa"/>
            <w:vAlign w:val="center"/>
          </w:tcPr>
          <w:p>
            <w:pPr>
              <w:rPr>
                <w:rFonts w:hAnsi="宋体"/>
                <w:szCs w:val="21"/>
              </w:rPr>
            </w:pPr>
            <w:r>
              <w:rPr>
                <w:rFonts w:hint="eastAsia" w:asciiTheme="minorEastAsia" w:hAnsiTheme="minorEastAsia" w:cstheme="minorEastAsia"/>
                <w:color w:val="FF0000"/>
                <w:szCs w:val="21"/>
              </w:rPr>
              <w:t>请填入贵单位响应的内容。</w:t>
            </w:r>
          </w:p>
        </w:tc>
        <w:tc>
          <w:tcPr>
            <w:tcW w:w="1417" w:type="dxa"/>
            <w:vAlign w:val="center"/>
          </w:tcPr>
          <w:p>
            <w:pPr>
              <w:rPr>
                <w:rFonts w:ascii="宋体" w:hAnsi="宋体"/>
                <w:szCs w:val="21"/>
              </w:rPr>
            </w:pPr>
            <w:r>
              <w:rPr>
                <w:rFonts w:ascii="宋体" w:hAnsi="宋体"/>
                <w:szCs w:val="21"/>
              </w:rPr>
              <w:t>正偏离（负偏离或无偏离）</w:t>
            </w:r>
          </w:p>
        </w:tc>
      </w:tr>
    </w:tbl>
    <w:p>
      <w:pPr>
        <w:pStyle w:val="4"/>
        <w:rPr>
          <w:rFonts w:hAnsi="宋体"/>
          <w:szCs w:val="21"/>
        </w:rPr>
      </w:pPr>
    </w:p>
    <w:p>
      <w:pPr>
        <w:pStyle w:val="4"/>
        <w:rPr>
          <w:rFonts w:hAnsi="宋体"/>
          <w:szCs w:val="21"/>
        </w:rPr>
      </w:pPr>
      <w:r>
        <w:rPr>
          <w:rFonts w:hint="eastAsia" w:hAnsi="宋体"/>
          <w:szCs w:val="21"/>
          <w:u w:val="single"/>
        </w:rPr>
        <w:t>　　</w:t>
      </w:r>
      <w:r>
        <w:rPr>
          <w:rFonts w:hint="eastAsia" w:hAnsi="宋体"/>
          <w:szCs w:val="21"/>
        </w:rPr>
        <w:t>分项（有分项时填写）</w:t>
      </w:r>
    </w:p>
    <w:p>
      <w:pPr>
        <w:pStyle w:val="4"/>
        <w:rPr>
          <w:rFonts w:hAnsi="宋体"/>
          <w:szCs w:val="21"/>
        </w:rPr>
      </w:pPr>
    </w:p>
    <w:p>
      <w:pPr>
        <w:pStyle w:val="4"/>
        <w:rPr>
          <w:rFonts w:hAnsi="宋体"/>
          <w:szCs w:val="21"/>
        </w:rPr>
      </w:pPr>
    </w:p>
    <w:p>
      <w:pPr>
        <w:pStyle w:val="4"/>
        <w:spacing w:line="400" w:lineRule="exact"/>
        <w:rPr>
          <w:rFonts w:hAnsi="宋体"/>
          <w:szCs w:val="21"/>
        </w:rPr>
      </w:pPr>
      <w:r>
        <w:rPr>
          <w:rFonts w:hAnsi="宋体"/>
          <w:szCs w:val="21"/>
        </w:rPr>
        <w:t>注：⑴表格内容均需按要求填写并盖章，不得留空，</w:t>
      </w:r>
      <w:r>
        <w:rPr>
          <w:rFonts w:hAnsi="宋体"/>
          <w:bCs/>
          <w:szCs w:val="21"/>
        </w:rPr>
        <w:t>否则按无效</w:t>
      </w:r>
      <w:r>
        <w:rPr>
          <w:rFonts w:hint="eastAsia" w:hAnsi="宋体"/>
          <w:bCs/>
          <w:szCs w:val="21"/>
        </w:rPr>
        <w:t>响应</w:t>
      </w:r>
      <w:r>
        <w:rPr>
          <w:rFonts w:hAnsi="宋体"/>
          <w:bCs/>
          <w:szCs w:val="21"/>
        </w:rPr>
        <w:t>处理</w:t>
      </w:r>
      <w:r>
        <w:rPr>
          <w:rFonts w:hAnsi="宋体"/>
          <w:szCs w:val="21"/>
        </w:rPr>
        <w:t>。</w:t>
      </w:r>
    </w:p>
    <w:p>
      <w:pPr>
        <w:pStyle w:val="4"/>
        <w:spacing w:line="400" w:lineRule="exact"/>
        <w:ind w:left="689" w:leftChars="228" w:hanging="210" w:hangingChars="100"/>
        <w:rPr>
          <w:rFonts w:hAnsi="宋体"/>
          <w:sz w:val="24"/>
          <w:szCs w:val="24"/>
        </w:rPr>
      </w:pPr>
      <w:r>
        <w:rPr>
          <w:rFonts w:hAnsi="宋体"/>
          <w:bCs/>
          <w:szCs w:val="21"/>
        </w:rPr>
        <w:t>⑵当</w:t>
      </w:r>
      <w:r>
        <w:rPr>
          <w:rFonts w:hint="eastAsia" w:hAnsi="宋体"/>
          <w:bCs/>
          <w:szCs w:val="21"/>
        </w:rPr>
        <w:t>响应</w:t>
      </w:r>
      <w:r>
        <w:rPr>
          <w:rFonts w:hAnsi="宋体"/>
          <w:bCs/>
          <w:szCs w:val="21"/>
        </w:rPr>
        <w:t>文件的内容低于</w:t>
      </w:r>
      <w:r>
        <w:rPr>
          <w:rFonts w:hint="eastAsia" w:hAnsi="宋体"/>
          <w:bCs/>
          <w:szCs w:val="21"/>
        </w:rPr>
        <w:t>附件1采购</w:t>
      </w:r>
      <w:r>
        <w:rPr>
          <w:rFonts w:hint="eastAsia" w:asciiTheme="minorEastAsia" w:hAnsiTheme="minorEastAsia"/>
          <w:szCs w:val="21"/>
        </w:rPr>
        <w:t>需求一览表”</w:t>
      </w:r>
      <w:r>
        <w:rPr>
          <w:rFonts w:hAnsi="宋体"/>
          <w:bCs/>
          <w:szCs w:val="21"/>
        </w:rPr>
        <w:t>要求时，</w:t>
      </w:r>
      <w:r>
        <w:rPr>
          <w:rFonts w:hint="eastAsia" w:hAnsi="宋体"/>
          <w:bCs/>
          <w:szCs w:val="21"/>
        </w:rPr>
        <w:t>供应商</w:t>
      </w:r>
      <w:r>
        <w:rPr>
          <w:rFonts w:hAnsi="宋体"/>
          <w:bCs/>
          <w:szCs w:val="21"/>
        </w:rPr>
        <w:t>应当如实写明“负偏离”，否则视为虚假</w:t>
      </w:r>
      <w:r>
        <w:rPr>
          <w:rFonts w:hint="eastAsia" w:hAnsi="宋体"/>
          <w:bCs/>
          <w:szCs w:val="21"/>
        </w:rPr>
        <w:t>响应</w:t>
      </w:r>
      <w:r>
        <w:rPr>
          <w:rFonts w:hAnsi="宋体"/>
          <w:bCs/>
          <w:szCs w:val="21"/>
        </w:rPr>
        <w:t>。</w:t>
      </w:r>
    </w:p>
    <w:p>
      <w:pPr>
        <w:pStyle w:val="4"/>
        <w:spacing w:line="400" w:lineRule="exact"/>
        <w:rPr>
          <w:rFonts w:hAnsi="宋体"/>
          <w:szCs w:val="21"/>
        </w:rPr>
      </w:pPr>
      <w:r>
        <w:rPr>
          <w:rFonts w:hint="eastAsia" w:hAnsi="宋体"/>
          <w:szCs w:val="21"/>
        </w:rPr>
        <w:t>响应人（盖单位公章）：</w:t>
      </w:r>
    </w:p>
    <w:p>
      <w:pPr>
        <w:pStyle w:val="2"/>
        <w:numPr>
          <w:ilvl w:val="3"/>
          <w:numId w:val="0"/>
        </w:numPr>
        <w:ind w:left="1077"/>
      </w:pPr>
    </w:p>
    <w:p>
      <w:pPr>
        <w:pStyle w:val="4"/>
        <w:spacing w:line="400" w:lineRule="exact"/>
        <w:rPr>
          <w:rFonts w:hAnsi="宋体"/>
          <w:szCs w:val="21"/>
        </w:rPr>
      </w:pPr>
      <w:bookmarkStart w:id="0" w:name="_Toc460253713"/>
      <w:bookmarkStart w:id="1" w:name="_Toc521096352"/>
      <w:r>
        <w:rPr>
          <w:rFonts w:hint="eastAsia" w:hAnsi="宋体"/>
          <w:szCs w:val="21"/>
        </w:rPr>
        <w:t>法定代表人或其委托代理人（签字或盖章）：</w:t>
      </w:r>
      <w:bookmarkEnd w:id="0"/>
      <w:bookmarkEnd w:id="1"/>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417F50"/>
    <w:rsid w:val="25417F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Plain Text"/>
    <w:basedOn w:val="1"/>
    <w:next w:val="2"/>
    <w:qFormat/>
    <w:uiPriority w:val="0"/>
    <w:rPr>
      <w:rFonts w:ascii="宋体" w:hAnsi="Courier New"/>
      <w:szCs w:val="20"/>
    </w:rPr>
  </w:style>
  <w:style w:type="paragraph" w:customStyle="1" w:styleId="7">
    <w:name w:val="表格文字"/>
    <w:basedOn w:val="1"/>
    <w:qFormat/>
    <w:uiPriority w:val="0"/>
    <w:pPr>
      <w:spacing w:before="25" w:after="25"/>
      <w:jc w:val="left"/>
    </w:pPr>
    <w:rPr>
      <w:bCs/>
      <w:spacing w:val="10"/>
      <w:sz w:val="24"/>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2021-03-29T07:17:00Z</dcterms:created>
  <dc:creator>WPS</dc:creator>
  <cp:lastModifiedBy>WPS</cp:lastModifiedBy>
  <dcterms:modified xsi:type="dcterms:W3CDTF">2021-03-29T07:18:46Z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7E3DBD2F6BD44835918CFC47ECC531CD</vt:lpwstr>
  </property>
</Properties>
</file>