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jc w:val="left"/>
        <w:outlineLvl w:val="0"/>
        <w:rPr>
          <w:b/>
          <w:bCs/>
          <w:color w:val="000000" w:themeColor="text1"/>
          <w:sz w:val="32"/>
          <w:szCs w:val="32"/>
          <w14:textFill>
            <w14:solidFill>
              <w14:schemeClr w14:val="tx1"/>
            </w14:solidFill>
          </w14:textFill>
        </w:rPr>
      </w:pPr>
      <w:r>
        <w:rPr>
          <w:rFonts w:hint="eastAsia"/>
          <w:b/>
          <w:bCs/>
          <w:color w:val="000000" w:themeColor="text1"/>
          <w:sz w:val="32"/>
          <w:szCs w:val="32"/>
          <w14:textFill>
            <w14:solidFill>
              <w14:schemeClr w14:val="tx1"/>
            </w14:solidFill>
          </w14:textFill>
        </w:rPr>
        <w:t>附件</w:t>
      </w:r>
      <w:r>
        <w:rPr>
          <w:b/>
          <w:bCs/>
          <w:color w:val="000000" w:themeColor="text1"/>
          <w:sz w:val="32"/>
          <w:szCs w:val="32"/>
          <w14:textFill>
            <w14:solidFill>
              <w14:schemeClr w14:val="tx1"/>
            </w14:solidFill>
          </w14:textFill>
        </w:rPr>
        <w:t>1</w:t>
      </w:r>
    </w:p>
    <w:p>
      <w:pPr>
        <w:pStyle w:val="3"/>
        <w:jc w:val="center"/>
        <w:rPr>
          <w:rFonts w:cs="Times New Roman"/>
          <w:b/>
          <w:bCs/>
          <w:color w:val="000000" w:themeColor="text1"/>
          <w:sz w:val="32"/>
          <w:szCs w:val="32"/>
          <w14:textFill>
            <w14:solidFill>
              <w14:schemeClr w14:val="tx1"/>
            </w14:solidFill>
          </w14:textFill>
        </w:rPr>
      </w:pPr>
      <w:bookmarkStart w:id="0" w:name="_GoBack"/>
      <w:r>
        <w:rPr>
          <w:rFonts w:hint="eastAsia"/>
          <w:b/>
          <w:bCs/>
          <w:color w:val="000000" w:themeColor="text1"/>
          <w:sz w:val="32"/>
          <w:szCs w:val="32"/>
          <w14:textFill>
            <w14:solidFill>
              <w14:schemeClr w14:val="tx1"/>
            </w14:solidFill>
          </w14:textFill>
        </w:rPr>
        <w:t>服务需求一览表</w:t>
      </w:r>
      <w:bookmarkEnd w:id="0"/>
    </w:p>
    <w:p>
      <w:pPr>
        <w:pStyle w:val="3"/>
        <w:ind w:firstLine="210" w:firstLineChars="100"/>
        <w:rPr>
          <w:rFonts w:cs="Times New Roman"/>
          <w:color w:val="000000" w:themeColor="text1"/>
          <w14:textFill>
            <w14:solidFill>
              <w14:schemeClr w14:val="tx1"/>
            </w14:solidFill>
          </w14:textFill>
        </w:rPr>
      </w:pPr>
      <w:r>
        <w:rPr>
          <w:rFonts w:hAnsi="宋体"/>
          <w:color w:val="000000" w:themeColor="text1"/>
          <w14:textFill>
            <w14:solidFill>
              <w14:schemeClr w14:val="tx1"/>
            </w14:solidFill>
          </w14:textFill>
        </w:rPr>
        <w:t xml:space="preserve"> </w:t>
      </w:r>
    </w:p>
    <w:tbl>
      <w:tblPr>
        <w:tblStyle w:val="4"/>
        <w:tblW w:w="10773"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563"/>
        <w:gridCol w:w="993"/>
        <w:gridCol w:w="849"/>
        <w:gridCol w:w="8368"/>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项号</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服务名称</w:t>
            </w: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数量</w:t>
            </w:r>
          </w:p>
        </w:tc>
        <w:tc>
          <w:tcPr>
            <w:tcW w:w="8368" w:type="dxa"/>
            <w:tcBorders>
              <w:top w:val="single" w:color="auto" w:sz="4" w:space="0"/>
              <w:left w:val="single" w:color="auto" w:sz="4" w:space="0"/>
              <w:bottom w:val="single" w:color="auto" w:sz="4" w:space="0"/>
            </w:tcBorders>
            <w:vAlign w:val="center"/>
          </w:tcPr>
          <w:p>
            <w:pPr>
              <w:jc w:val="center"/>
              <w:rPr>
                <w:rFonts w:ascii="宋体" w:cs="Times New Roman"/>
                <w:b/>
                <w:bCs/>
                <w:color w:val="000000" w:themeColor="text1"/>
                <w14:textFill>
                  <w14:solidFill>
                    <w14:schemeClr w14:val="tx1"/>
                  </w14:solidFill>
                </w14:textFill>
              </w:rPr>
            </w:pPr>
            <w:r>
              <w:rPr>
                <w:rFonts w:hint="eastAsia" w:ascii="宋体" w:hAnsi="宋体" w:cs="宋体"/>
                <w:b/>
                <w:bCs/>
                <w:color w:val="000000" w:themeColor="text1"/>
                <w14:textFill>
                  <w14:solidFill>
                    <w14:schemeClr w14:val="tx1"/>
                  </w14:solidFill>
                </w14:textFill>
              </w:rPr>
              <w:t>服务项目的具体内容和要求</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hAnsi="宋体" w:cs="宋体"/>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1</w:t>
            </w:r>
          </w:p>
        </w:tc>
        <w:tc>
          <w:tcPr>
            <w:tcW w:w="993"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color w:val="000000" w:themeColor="text1"/>
                <w14:textFill>
                  <w14:solidFill>
                    <w14:schemeClr w14:val="tx1"/>
                  </w14:solidFill>
                </w14:textFill>
              </w:rPr>
            </w:pPr>
            <w:r>
              <w:rPr>
                <w:rFonts w:hint="eastAsia" w:ascii="宋体" w:cs="Times New Roman"/>
                <w:color w:val="000000" w:themeColor="text1"/>
                <w14:textFill>
                  <w14:solidFill>
                    <w14:schemeClr w14:val="tx1"/>
                  </w14:solidFill>
                </w14:textFill>
              </w:rPr>
              <w:t>南宁中心血站业务副楼电梯维保服务</w:t>
            </w:r>
          </w:p>
          <w:p>
            <w:pPr>
              <w:jc w:val="center"/>
              <w:rPr>
                <w:rFonts w:ascii="宋体" w:cs="Times New Roman"/>
                <w:color w:val="000000" w:themeColor="text1"/>
                <w14:textFill>
                  <w14:solidFill>
                    <w14:schemeClr w14:val="tx1"/>
                  </w14:solidFill>
                </w14:textFill>
              </w:rPr>
            </w:pPr>
          </w:p>
        </w:tc>
        <w:tc>
          <w:tcPr>
            <w:tcW w:w="849" w:type="dxa"/>
            <w:tcBorders>
              <w:top w:val="single" w:color="auto" w:sz="4" w:space="0"/>
              <w:left w:val="single" w:color="auto" w:sz="4" w:space="0"/>
              <w:bottom w:val="single" w:color="auto" w:sz="4" w:space="0"/>
              <w:right w:val="single" w:color="auto" w:sz="4" w:space="0"/>
            </w:tcBorders>
            <w:vAlign w:val="center"/>
          </w:tcPr>
          <w:p>
            <w:pPr>
              <w:jc w:val="center"/>
              <w:rPr>
                <w:rFonts w:ascii="宋体" w:cs="Times New Roman"/>
                <w:color w:val="000000" w:themeColor="text1"/>
                <w14:textFill>
                  <w14:solidFill>
                    <w14:schemeClr w14:val="tx1"/>
                  </w14:solidFill>
                </w14:textFill>
              </w:rPr>
            </w:pPr>
            <w:r>
              <w:rPr>
                <w:rFonts w:ascii="宋体" w:hAnsi="宋体" w:cs="宋体"/>
                <w:color w:val="000000" w:themeColor="text1"/>
                <w14:textFill>
                  <w14:solidFill>
                    <w14:schemeClr w14:val="tx1"/>
                  </w14:solidFill>
                </w14:textFill>
              </w:rPr>
              <w:t>1</w:t>
            </w:r>
            <w:r>
              <w:rPr>
                <w:rFonts w:hint="eastAsia" w:ascii="宋体" w:hAnsi="宋体" w:cs="宋体"/>
                <w:color w:val="000000" w:themeColor="text1"/>
                <w14:textFill>
                  <w14:solidFill>
                    <w14:schemeClr w14:val="tx1"/>
                  </w14:solidFill>
                </w14:textFill>
              </w:rPr>
              <w:t>项</w:t>
            </w:r>
          </w:p>
        </w:tc>
        <w:tc>
          <w:tcPr>
            <w:tcW w:w="8368" w:type="dxa"/>
            <w:tcBorders>
              <w:top w:val="single" w:color="auto" w:sz="4" w:space="0"/>
              <w:left w:val="single" w:color="auto" w:sz="4" w:space="0"/>
              <w:bottom w:val="single" w:color="auto" w:sz="4" w:space="0"/>
            </w:tcBorders>
            <w:vAlign w:val="center"/>
          </w:tcPr>
          <w:p>
            <w:pPr>
              <w:numPr>
                <w:ilvl w:val="0"/>
                <w:numId w:val="1"/>
              </w:numPr>
              <w:snapToGrid w:val="0"/>
              <w:spacing w:line="460" w:lineRule="exact"/>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项目情况</w:t>
            </w:r>
          </w:p>
          <w:p>
            <w:pPr>
              <w:pStyle w:val="2"/>
              <w:numPr>
                <w:ilvl w:val="0"/>
                <w:numId w:val="2"/>
              </w:numPr>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南宁中心血站业务副楼12层，地下2层，配有电梯3部，地处南宁市西乡塘区科园大道18号。</w:t>
            </w:r>
          </w:p>
          <w:p>
            <w:pPr>
              <w:pStyle w:val="2"/>
              <w:numPr>
                <w:ilvl w:val="0"/>
                <w:numId w:val="2"/>
              </w:numPr>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电梯情况：</w:t>
            </w:r>
          </w:p>
          <w:p>
            <w:pPr>
              <w:pStyle w:val="2"/>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a、货物电梯</w:t>
            </w:r>
          </w:p>
          <w:p>
            <w:pPr>
              <w:pStyle w:val="2"/>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 xml:space="preserve">    数量：一台</w:t>
            </w:r>
          </w:p>
          <w:p>
            <w:pPr>
              <w:pStyle w:val="2"/>
              <w:ind w:firstLine="420" w:firstLineChars="200"/>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制造公司：西继迅达（许昌）电梯有限公司   制造日期：2016年6月1日</w:t>
            </w:r>
          </w:p>
          <w:p>
            <w:pPr>
              <w:pStyle w:val="2"/>
              <w:ind w:firstLine="420" w:firstLineChars="200"/>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额定载重：300KG           额定速度:1M/S</w:t>
            </w:r>
          </w:p>
          <w:p>
            <w:pPr>
              <w:pStyle w:val="2"/>
              <w:ind w:firstLine="420" w:firstLineChars="200"/>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层站数：8层8站8门      控制方式:并联控制</w:t>
            </w:r>
          </w:p>
          <w:p>
            <w:pPr>
              <w:pStyle w:val="2"/>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b、客梯</w:t>
            </w:r>
          </w:p>
          <w:p>
            <w:pPr>
              <w:pStyle w:val="2"/>
              <w:ind w:firstLine="420" w:firstLineChars="200"/>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数量:两台</w:t>
            </w:r>
          </w:p>
          <w:p>
            <w:pPr>
              <w:pStyle w:val="2"/>
              <w:ind w:firstLine="420" w:firstLineChars="200"/>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制造公司：怡达快速电梯有限公司     制造日期:2016年5月 1日</w:t>
            </w:r>
          </w:p>
          <w:p>
            <w:pPr>
              <w:pStyle w:val="2"/>
              <w:ind w:firstLine="420" w:firstLineChars="200"/>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 xml:space="preserve">额定载重：1000KG          额定速度：1.5M/S </w:t>
            </w:r>
          </w:p>
          <w:p>
            <w:pPr>
              <w:pStyle w:val="2"/>
              <w:ind w:firstLine="420" w:firstLineChars="200"/>
              <w:rPr>
                <w:rFonts w:ascii="宋体" w:hAnsi="宋体"/>
                <w:snapToGrid w:val="0"/>
                <w:color w:val="000000" w:themeColor="text1"/>
                <w14:textFill>
                  <w14:solidFill>
                    <w14:schemeClr w14:val="tx1"/>
                  </w14:solidFill>
                </w14:textFill>
              </w:rPr>
            </w:pPr>
            <w:r>
              <w:rPr>
                <w:rFonts w:hint="eastAsia" w:ascii="宋体" w:hAnsi="宋体"/>
                <w:snapToGrid w:val="0"/>
                <w:color w:val="000000" w:themeColor="text1"/>
                <w14:textFill>
                  <w14:solidFill>
                    <w14:schemeClr w14:val="tx1"/>
                  </w14:solidFill>
                </w14:textFill>
              </w:rPr>
              <w:t>层站数：12层12站12门   控制方式:并联控制</w:t>
            </w:r>
          </w:p>
          <w:p>
            <w:pPr>
              <w:pStyle w:val="2"/>
              <w:numPr>
                <w:ilvl w:val="0"/>
                <w:numId w:val="1"/>
              </w:numPr>
              <w:rPr>
                <w:color w:val="000000" w:themeColor="text1"/>
                <w14:textFill>
                  <w14:solidFill>
                    <w14:schemeClr w14:val="tx1"/>
                  </w14:solidFill>
                </w14:textFill>
              </w:rPr>
            </w:pPr>
            <w:r>
              <w:rPr>
                <w:rFonts w:hint="eastAsia"/>
                <w:color w:val="000000" w:themeColor="text1"/>
                <w14:textFill>
                  <w14:solidFill>
                    <w14:schemeClr w14:val="tx1"/>
                  </w14:solidFill>
                </w14:textFill>
              </w:rPr>
              <w:t>服务内容及相关要求</w:t>
            </w:r>
          </w:p>
          <w:p>
            <w:pPr>
              <w:spacing w:line="360" w:lineRule="auto"/>
              <w:rPr>
                <w:rFonts w:ascii="宋体" w:hAnsi="宋体"/>
                <w:color w:val="000000" w:themeColor="text1"/>
                <w:kern w:val="0"/>
                <w14:textFill>
                  <w14:solidFill>
                    <w14:schemeClr w14:val="tx1"/>
                  </w14:solidFill>
                </w14:textFill>
              </w:rPr>
            </w:pPr>
            <w:r>
              <w:rPr>
                <w:rFonts w:hint="eastAsia" w:ascii="宋体" w:hAnsi="宋体"/>
                <w:b/>
                <w:color w:val="000000" w:themeColor="text1"/>
                <w:kern w:val="0"/>
                <w14:textFill>
                  <w14:solidFill>
                    <w14:schemeClr w14:val="tx1"/>
                  </w14:solidFill>
                </w14:textFill>
              </w:rPr>
              <w:t>（一）电梯日常保养项目内容</w:t>
            </w:r>
          </w:p>
          <w:p>
            <w:pPr>
              <w:tabs>
                <w:tab w:val="left" w:pos="3510"/>
              </w:tabs>
              <w:spacing w:line="360" w:lineRule="auto"/>
              <w:ind w:firstLine="420" w:firstLineChars="200"/>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每隔十五日</w:t>
            </w:r>
            <w:r>
              <w:rPr>
                <w:rFonts w:ascii="宋体" w:hAnsi="宋体" w:cs="宋体"/>
                <w:color w:val="000000" w:themeColor="text1"/>
                <w:kern w:val="0"/>
                <w14:textFill>
                  <w14:solidFill>
                    <w14:schemeClr w14:val="tx1"/>
                  </w14:solidFill>
                </w14:textFill>
              </w:rPr>
              <w:t>对电梯</w:t>
            </w:r>
            <w:r>
              <w:rPr>
                <w:rFonts w:hint="eastAsia" w:ascii="宋体" w:hAnsi="宋体" w:cs="宋体"/>
                <w:color w:val="000000" w:themeColor="text1"/>
                <w:kern w:val="0"/>
                <w14:textFill>
                  <w14:solidFill>
                    <w14:schemeClr w14:val="tx1"/>
                  </w14:solidFill>
                </w14:textFill>
              </w:rPr>
              <w:t>进行例行保养一次，具体项目内容和标准如表一。</w:t>
            </w:r>
          </w:p>
          <w:p>
            <w:pPr>
              <w:tabs>
                <w:tab w:val="left" w:pos="3510"/>
              </w:tabs>
              <w:spacing w:line="360" w:lineRule="auto"/>
              <w:rPr>
                <w:rFonts w:ascii="宋体" w:hAnsi="宋体"/>
                <w:b/>
                <w:color w:val="000000" w:themeColor="text1"/>
                <w14:textFill>
                  <w14:solidFill>
                    <w14:schemeClr w14:val="tx1"/>
                  </w14:solidFill>
                </w14:textFill>
              </w:rPr>
            </w:pPr>
            <w:r>
              <w:rPr>
                <w:rFonts w:hint="eastAsia" w:ascii="宋体" w:hAnsi="宋体" w:cs="宋体"/>
                <w:b/>
                <w:bCs/>
                <w:color w:val="000000" w:themeColor="text1"/>
                <w:kern w:val="0"/>
                <w14:textFill>
                  <w14:solidFill>
                    <w14:schemeClr w14:val="tx1"/>
                  </w14:solidFill>
                </w14:textFill>
              </w:rPr>
              <w:t>表一：电梯日常（半月）维保项目（内容）和标准</w:t>
            </w:r>
          </w:p>
          <w:tbl>
            <w:tblPr>
              <w:tblStyle w:val="4"/>
              <w:tblW w:w="0" w:type="auto"/>
              <w:tblInd w:w="11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5"/>
              <w:gridCol w:w="3420"/>
              <w:gridCol w:w="376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b/>
                      <w:color w:val="000000" w:themeColor="text1"/>
                      <w:kern w:val="0"/>
                      <w14:textFill>
                        <w14:solidFill>
                          <w14:schemeClr w14:val="tx1"/>
                        </w14:solidFill>
                      </w14:textFill>
                    </w:rPr>
                  </w:pPr>
                  <w:r>
                    <w:rPr>
                      <w:rFonts w:hint="eastAsia" w:ascii="宋体" w:hAnsi="宋体" w:cs="宋体"/>
                      <w:b/>
                      <w:color w:val="000000" w:themeColor="text1"/>
                      <w:kern w:val="0"/>
                      <w14:textFill>
                        <w14:solidFill>
                          <w14:schemeClr w14:val="tx1"/>
                        </w14:solidFill>
                      </w14:textFill>
                    </w:rPr>
                    <w:t>序号</w:t>
                  </w:r>
                </w:p>
              </w:tc>
              <w:tc>
                <w:tcPr>
                  <w:tcW w:w="3420" w:type="dxa"/>
                  <w:vAlign w:val="center"/>
                </w:tcPr>
                <w:p>
                  <w:pPr>
                    <w:widowControl/>
                    <w:spacing w:line="360" w:lineRule="auto"/>
                    <w:jc w:val="center"/>
                    <w:rPr>
                      <w:rFonts w:ascii="宋体" w:hAnsi="宋体" w:cs="宋体"/>
                      <w:b/>
                      <w:color w:val="000000" w:themeColor="text1"/>
                      <w:kern w:val="0"/>
                      <w14:textFill>
                        <w14:solidFill>
                          <w14:schemeClr w14:val="tx1"/>
                        </w14:solidFill>
                      </w14:textFill>
                    </w:rPr>
                  </w:pPr>
                  <w:r>
                    <w:rPr>
                      <w:rFonts w:hint="eastAsia" w:ascii="宋体" w:hAnsi="宋体" w:cs="宋体"/>
                      <w:b/>
                      <w:color w:val="000000" w:themeColor="text1"/>
                      <w:kern w:val="0"/>
                      <w14:textFill>
                        <w14:solidFill>
                          <w14:schemeClr w14:val="tx1"/>
                        </w14:solidFill>
                      </w14:textFill>
                    </w:rPr>
                    <w:t>维保项目（内容）</w:t>
                  </w:r>
                </w:p>
              </w:tc>
              <w:tc>
                <w:tcPr>
                  <w:tcW w:w="3769" w:type="dxa"/>
                  <w:vAlign w:val="center"/>
                </w:tcPr>
                <w:p>
                  <w:pPr>
                    <w:widowControl/>
                    <w:spacing w:line="360" w:lineRule="auto"/>
                    <w:jc w:val="center"/>
                    <w:rPr>
                      <w:rFonts w:ascii="宋体" w:hAnsi="宋体" w:cs="宋体"/>
                      <w:b/>
                      <w:color w:val="000000" w:themeColor="text1"/>
                      <w:kern w:val="0"/>
                      <w14:textFill>
                        <w14:solidFill>
                          <w14:schemeClr w14:val="tx1"/>
                        </w14:solidFill>
                      </w14:textFill>
                    </w:rPr>
                  </w:pPr>
                  <w:r>
                    <w:rPr>
                      <w:rFonts w:hint="eastAsia" w:ascii="宋体" w:hAnsi="宋体" w:cs="宋体"/>
                      <w:b/>
                      <w:color w:val="000000" w:themeColor="text1"/>
                      <w:kern w:val="0"/>
                      <w14:textFill>
                        <w14:solidFill>
                          <w14:schemeClr w14:val="tx1"/>
                        </w14:solidFill>
                      </w14:textFill>
                    </w:rPr>
                    <w:t>维保基本标准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机房、主机、滑轮间、轿顶环境</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机房内干净整洁无杂物、机件配电柜无灰尘、锈迹、油渍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电梯运行</w:t>
                  </w:r>
                  <w:r>
                    <w:rPr>
                      <w:rFonts w:hint="eastAsia" w:ascii="宋体" w:hAnsi="宋体"/>
                      <w:color w:val="000000" w:themeColor="text1"/>
                      <w14:textFill>
                        <w14:solidFill>
                          <w14:schemeClr w14:val="tx1"/>
                        </w14:solidFill>
                      </w14:textFill>
                    </w:rPr>
                    <w:t>舒适感、有无杂音</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olor w:val="000000" w:themeColor="text1"/>
                      <w14:textFill>
                        <w14:solidFill>
                          <w14:schemeClr w14:val="tx1"/>
                        </w14:solidFill>
                      </w14:textFill>
                    </w:rPr>
                    <w:t>运行平稳、舒适、无杂音</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手动紧急操作装置</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齐全、无缺失，在指定位置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曳引机</w:t>
                  </w:r>
                </w:p>
              </w:tc>
              <w:tc>
                <w:tcPr>
                  <w:tcW w:w="3769" w:type="dxa"/>
                  <w:vAlign w:val="center"/>
                </w:tcPr>
                <w:p>
                  <w:pPr>
                    <w:widowControl/>
                    <w:spacing w:line="360" w:lineRule="auto"/>
                    <w:rPr>
                      <w:rFonts w:ascii="宋体" w:hAnsi="宋体" w:cs="宋体"/>
                      <w:strike/>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运行时无异常振动和异常声响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制动器及其各销轴部位</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 xml:space="preserve">动作可靠，有足够的制动力；各销轴润滑，灵活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制动器间隙</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打开时制动衬与制动轮不应发生摩擦，制动衬磨损量不应大于原厚度1/3</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7</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控制柜内各元器件</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应整洁，各仪表指示（显示）正确，各接线应坚固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8</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电动机运行情况</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平稳无振动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9</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编码器</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清洁，安装牢固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限速器各销轴部位</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润滑，转动灵活；电气开关正常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轿顶</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清洁，防护栏安全可靠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对重块及其压板</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对重块无松动，压板紧固。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井道照明</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齐全、正常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轿厢照明、风扇、应急照明</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轿厢检修开关、急停开关</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导靴上油杯</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吸油毛毡齐全，油量适宜，油杯无泄漏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轿内报警装置、对讲系统</w:t>
                  </w:r>
                </w:p>
              </w:tc>
              <w:tc>
                <w:tcPr>
                  <w:tcW w:w="3769" w:type="dxa"/>
                  <w:vAlign w:val="center"/>
                </w:tcPr>
                <w:p>
                  <w:pPr>
                    <w:widowControl/>
                    <w:spacing w:line="360" w:lineRule="auto"/>
                    <w:rPr>
                      <w:rFonts w:ascii="宋体" w:hAnsi="宋体" w:cs="宋体"/>
                      <w:strike/>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工作正常，轿内求救警铃正常有效，与消防中心通话正常。轿内与机房通话正常。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轿内显示、指令按钮</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齐全、有效、显示正确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候梯厅显示、按钮</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齐全、有效、显示正确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轿门安全装置（安全触板，光幕、光电等）</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功能有效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轿门门锁电气触点</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清洁, 触点接触良好，接线可靠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轿门运行</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开启和关闭工作正常，灵活可靠。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轿厢平层精度</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层站召唤、层楼显示</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齐全、有效、显示正常。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层门地坎</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清洁</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层门自动关门装置</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层门门锁自动复位</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用层门钥匙打开手动开锁装置释放后，层门门锁能自动复位</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层门门锁电气触点</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清洁, 触点接触良好，接线可靠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层门锁紧元件啮合长度</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不小于7mm</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底坑环境</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清洁，无渗水、积水，照明正常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numPr>
                      <w:ilvl w:val="0"/>
                      <w:numId w:val="3"/>
                    </w:numPr>
                    <w:spacing w:line="360" w:lineRule="auto"/>
                    <w:ind w:firstLine="210" w:firstLineChars="100"/>
                    <w:jc w:val="center"/>
                    <w:rPr>
                      <w:rFonts w:ascii="宋体" w:hAnsi="宋体" w:cs="宋体"/>
                      <w:color w:val="000000" w:themeColor="text1"/>
                      <w:kern w:val="0"/>
                      <w14:textFill>
                        <w14:solidFill>
                          <w14:schemeClr w14:val="tx1"/>
                        </w14:solidFill>
                      </w14:textFill>
                    </w:rPr>
                  </w:pP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底坑急停开关</w:t>
                  </w:r>
                </w:p>
              </w:tc>
              <w:tc>
                <w:tcPr>
                  <w:tcW w:w="3769"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工作正常</w:t>
                  </w:r>
                </w:p>
              </w:tc>
            </w:tr>
          </w:tbl>
          <w:p>
            <w:pPr>
              <w:spacing w:line="360" w:lineRule="auto"/>
              <w:rPr>
                <w:rFonts w:ascii="宋体" w:hAnsi="宋体"/>
                <w:color w:val="000000" w:themeColor="text1"/>
                <w:kern w:val="0"/>
                <w:szCs w:val="22"/>
                <w14:textFill>
                  <w14:solidFill>
                    <w14:schemeClr w14:val="tx1"/>
                  </w14:solidFill>
                </w14:textFill>
              </w:rPr>
            </w:pPr>
            <w:r>
              <w:rPr>
                <w:rFonts w:hint="eastAsia" w:ascii="宋体" w:hAnsi="宋体"/>
                <w:b/>
                <w:color w:val="000000" w:themeColor="text1"/>
                <w:kern w:val="0"/>
                <w:szCs w:val="22"/>
                <w14:textFill>
                  <w14:solidFill>
                    <w14:schemeClr w14:val="tx1"/>
                  </w14:solidFill>
                </w14:textFill>
              </w:rPr>
              <w:t>（二）电梯季度维修保养内容</w:t>
            </w:r>
          </w:p>
          <w:p>
            <w:pPr>
              <w:tabs>
                <w:tab w:val="left" w:pos="3510"/>
              </w:tabs>
              <w:spacing w:line="360" w:lineRule="auto"/>
              <w:ind w:firstLine="420" w:firstLineChars="200"/>
              <w:jc w:val="left"/>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季度维修</w:t>
            </w:r>
            <w:r>
              <w:rPr>
                <w:rFonts w:ascii="宋体" w:hAnsi="宋体" w:cs="宋体"/>
                <w:color w:val="000000" w:themeColor="text1"/>
                <w:kern w:val="0"/>
                <w14:textFill>
                  <w14:solidFill>
                    <w14:schemeClr w14:val="tx1"/>
                  </w14:solidFill>
                </w14:textFill>
              </w:rPr>
              <w:t>保养是在</w:t>
            </w:r>
            <w:r>
              <w:rPr>
                <w:rFonts w:hint="eastAsia" w:ascii="宋体" w:hAnsi="宋体" w:cs="宋体"/>
                <w:color w:val="000000" w:themeColor="text1"/>
                <w:kern w:val="0"/>
                <w14:textFill>
                  <w14:solidFill>
                    <w14:schemeClr w14:val="tx1"/>
                  </w14:solidFill>
                </w14:textFill>
              </w:rPr>
              <w:t>日常</w:t>
            </w:r>
            <w:r>
              <w:rPr>
                <w:rFonts w:ascii="宋体" w:hAnsi="宋体" w:cs="宋体"/>
                <w:color w:val="000000" w:themeColor="text1"/>
                <w:kern w:val="0"/>
                <w14:textFill>
                  <w14:solidFill>
                    <w14:schemeClr w14:val="tx1"/>
                  </w14:solidFill>
                </w14:textFill>
              </w:rPr>
              <w:t>保养的基础上主要对电梯的各部件进行清洁、润滑、检查、特别是对安全装置的检查</w:t>
            </w:r>
            <w:r>
              <w:rPr>
                <w:rFonts w:hint="eastAsia" w:ascii="宋体" w:hAnsi="宋体" w:cs="宋体"/>
                <w:color w:val="000000" w:themeColor="text1"/>
                <w:kern w:val="0"/>
                <w14:textFill>
                  <w14:solidFill>
                    <w14:schemeClr w14:val="tx1"/>
                  </w14:solidFill>
                </w14:textFill>
              </w:rPr>
              <w:t>，季度维保项目（内容）和要求符合表一的要求外，还应当符合表二的要求。</w:t>
            </w:r>
          </w:p>
          <w:p>
            <w:pPr>
              <w:adjustRightInd w:val="0"/>
              <w:snapToGrid w:val="0"/>
              <w:spacing w:line="360" w:lineRule="auto"/>
              <w:ind w:firstLine="422" w:firstLineChars="200"/>
              <w:rPr>
                <w:rFonts w:ascii="宋体" w:hAnsi="宋体" w:cs="宋体"/>
                <w:b/>
                <w:bCs/>
                <w:color w:val="000000" w:themeColor="text1"/>
                <w:kern w:val="0"/>
                <w14:textFill>
                  <w14:solidFill>
                    <w14:schemeClr w14:val="tx1"/>
                  </w14:solidFill>
                </w14:textFill>
              </w:rPr>
            </w:pPr>
            <w:r>
              <w:rPr>
                <w:rFonts w:hint="eastAsia" w:ascii="宋体" w:hAnsi="宋体" w:cs="宋体"/>
                <w:b/>
                <w:bCs/>
                <w:color w:val="000000" w:themeColor="text1"/>
                <w:kern w:val="0"/>
                <w14:textFill>
                  <w14:solidFill>
                    <w14:schemeClr w14:val="tx1"/>
                  </w14:solidFill>
                </w14:textFill>
              </w:rPr>
              <w:t>表二：季度维保项目（内容）和标准</w:t>
            </w:r>
          </w:p>
          <w:tbl>
            <w:tblPr>
              <w:tblStyle w:val="4"/>
              <w:tblW w:w="0" w:type="auto"/>
              <w:tblInd w:w="11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5"/>
              <w:gridCol w:w="3420"/>
              <w:gridCol w:w="37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454"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序号</w:t>
                  </w:r>
                </w:p>
              </w:tc>
              <w:tc>
                <w:tcPr>
                  <w:tcW w:w="3420"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维保项目（内容）</w:t>
                  </w:r>
                </w:p>
              </w:tc>
              <w:tc>
                <w:tcPr>
                  <w:tcW w:w="3780"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维保基本标准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减速机润滑油</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油量适宜，除蜗杆伸出端外均无渗漏</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制动衬</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清洁，磨损量不超过制造单位要求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位置脉冲发生器</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选层器动静触点</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清洁，无烧蚀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曳引轮槽、曳引钢丝绳</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清洁，无严重油腻，张力均匀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限速器轮槽、限速器钢丝绳</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清洁，无严重油腻</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7</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靴衬、滚轮</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清洁，磨损量不超过制造单位要求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8</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验证轿门关闭的电气安全装置</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9</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层门、轿门系统中传动钢丝绳、链条、胶带</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按照制造单位要求进行清洁、调整</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10</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层门门导靴</w:t>
                  </w:r>
                </w:p>
              </w:tc>
              <w:tc>
                <w:tcPr>
                  <w:tcW w:w="3780" w:type="dxa"/>
                  <w:vAlign w:val="center"/>
                </w:tcPr>
                <w:p>
                  <w:pPr>
                    <w:widowControl/>
                    <w:spacing w:line="360" w:lineRule="auto"/>
                    <w:ind w:right="-132" w:rightChars="-63"/>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11</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消防开关</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工作正常，功能有效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12</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耗能缓冲器</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电气安全装置功能有效，油量适宜，柱塞无锈蚀</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13</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限速器</w:t>
                  </w:r>
                  <w:r>
                    <w:rPr>
                      <w:rFonts w:hint="eastAsia" w:ascii="宋体" w:hAnsi="宋体" w:cs="宋体"/>
                      <w:bCs/>
                      <w:color w:val="000000" w:themeColor="text1"/>
                      <w:kern w:val="0"/>
                      <w14:textFill>
                        <w14:solidFill>
                          <w14:schemeClr w14:val="tx1"/>
                        </w14:solidFill>
                      </w14:textFill>
                    </w:rPr>
                    <w:t>张</w:t>
                  </w:r>
                  <w:r>
                    <w:rPr>
                      <w:rFonts w:hint="eastAsia" w:ascii="宋体" w:hAnsi="宋体" w:cs="宋体"/>
                      <w:color w:val="000000" w:themeColor="text1"/>
                      <w:kern w:val="0"/>
                      <w14:textFill>
                        <w14:solidFill>
                          <w14:schemeClr w14:val="tx1"/>
                        </w14:solidFill>
                      </w14:textFill>
                    </w:rPr>
                    <w:t>紧轮装置和电气安全装置</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工作正常</w:t>
                  </w:r>
                </w:p>
              </w:tc>
            </w:tr>
          </w:tbl>
          <w:p>
            <w:pPr>
              <w:spacing w:line="360" w:lineRule="auto"/>
              <w:rPr>
                <w:rFonts w:ascii="宋体" w:hAnsi="宋体"/>
                <w:color w:val="000000" w:themeColor="text1"/>
                <w:kern w:val="0"/>
                <w:szCs w:val="22"/>
                <w14:textFill>
                  <w14:solidFill>
                    <w14:schemeClr w14:val="tx1"/>
                  </w14:solidFill>
                </w14:textFill>
              </w:rPr>
            </w:pPr>
            <w:r>
              <w:rPr>
                <w:rFonts w:hint="eastAsia" w:ascii="宋体" w:hAnsi="宋体"/>
                <w:b/>
                <w:color w:val="000000" w:themeColor="text1"/>
                <w:kern w:val="0"/>
                <w:szCs w:val="22"/>
                <w14:textFill>
                  <w14:solidFill>
                    <w14:schemeClr w14:val="tx1"/>
                  </w14:solidFill>
                </w14:textFill>
              </w:rPr>
              <w:t>（三）电梯半年维修保养内容</w:t>
            </w:r>
          </w:p>
          <w:p>
            <w:pPr>
              <w:tabs>
                <w:tab w:val="left" w:pos="3510"/>
              </w:tabs>
              <w:spacing w:line="360" w:lineRule="auto"/>
              <w:ind w:firstLine="411" w:firstLineChars="196"/>
              <w:jc w:val="left"/>
              <w:rPr>
                <w:rFonts w:ascii="宋体" w:hAnsi="宋体" w:cs="宋体"/>
                <w:color w:val="000000" w:themeColor="text1"/>
                <w:kern w:val="0"/>
                <w14:textFill>
                  <w14:solidFill>
                    <w14:schemeClr w14:val="tx1"/>
                  </w14:solidFill>
                </w14:textFill>
              </w:rPr>
            </w:pPr>
            <w:r>
              <w:rPr>
                <w:rFonts w:ascii="宋体" w:hAnsi="宋体" w:cs="宋体"/>
                <w:color w:val="000000" w:themeColor="text1"/>
                <w:kern w:val="0"/>
                <w14:textFill>
                  <w14:solidFill>
                    <w14:schemeClr w14:val="tx1"/>
                  </w14:solidFill>
                </w14:textFill>
              </w:rPr>
              <w:t>半年保养主要在</w:t>
            </w:r>
            <w:r>
              <w:rPr>
                <w:rFonts w:hint="eastAsia" w:ascii="宋体" w:hAnsi="宋体" w:cs="宋体"/>
                <w:color w:val="000000" w:themeColor="text1"/>
                <w:kern w:val="0"/>
                <w14:textFill>
                  <w14:solidFill>
                    <w14:schemeClr w14:val="tx1"/>
                  </w14:solidFill>
                </w14:textFill>
              </w:rPr>
              <w:t>日常和季度维修</w:t>
            </w:r>
            <w:r>
              <w:rPr>
                <w:rFonts w:ascii="宋体" w:hAnsi="宋体" w:cs="宋体"/>
                <w:color w:val="000000" w:themeColor="text1"/>
                <w:kern w:val="0"/>
                <w14:textFill>
                  <w14:solidFill>
                    <w14:schemeClr w14:val="tx1"/>
                  </w14:solidFill>
                </w14:textFill>
              </w:rPr>
              <w:t>保养基础上对电梯的重点部位检查调整、维护保养</w:t>
            </w:r>
            <w:r>
              <w:rPr>
                <w:rFonts w:hint="eastAsia" w:ascii="宋体" w:hAnsi="宋体" w:cs="宋体"/>
                <w:color w:val="000000" w:themeColor="text1"/>
                <w:kern w:val="0"/>
                <w14:textFill>
                  <w14:solidFill>
                    <w14:schemeClr w14:val="tx1"/>
                  </w14:solidFill>
                </w14:textFill>
              </w:rPr>
              <w:t>，其维保项目（内容）和要求除符合季度维保的项目（内容）和要求外，还应当符合表三的项目（内容）和要求。</w:t>
            </w:r>
          </w:p>
          <w:p>
            <w:pPr>
              <w:adjustRightInd w:val="0"/>
              <w:snapToGrid w:val="0"/>
              <w:spacing w:line="360" w:lineRule="auto"/>
              <w:ind w:firstLine="422" w:firstLineChars="200"/>
              <w:rPr>
                <w:rFonts w:ascii="宋体" w:hAnsi="宋体" w:cs="宋体"/>
                <w:color w:val="000000" w:themeColor="text1"/>
                <w:kern w:val="0"/>
                <w14:textFill>
                  <w14:solidFill>
                    <w14:schemeClr w14:val="tx1"/>
                  </w14:solidFill>
                </w14:textFill>
              </w:rPr>
            </w:pPr>
            <w:r>
              <w:rPr>
                <w:rFonts w:hint="eastAsia" w:ascii="宋体" w:hAnsi="宋体" w:cs="宋体"/>
                <w:b/>
                <w:bCs/>
                <w:color w:val="000000" w:themeColor="text1"/>
                <w:kern w:val="0"/>
                <w14:textFill>
                  <w14:solidFill>
                    <w14:schemeClr w14:val="tx1"/>
                  </w14:solidFill>
                </w14:textFill>
              </w:rPr>
              <w:t>表三：半年维保项目（内容）和标准</w:t>
            </w:r>
          </w:p>
          <w:tbl>
            <w:tblPr>
              <w:tblStyle w:val="4"/>
              <w:tblW w:w="0" w:type="auto"/>
              <w:tblInd w:w="11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5"/>
              <w:gridCol w:w="3420"/>
              <w:gridCol w:w="37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序号</w:t>
                  </w:r>
                </w:p>
              </w:tc>
              <w:tc>
                <w:tcPr>
                  <w:tcW w:w="3420"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维保项目（内容）</w:t>
                  </w:r>
                </w:p>
              </w:tc>
              <w:tc>
                <w:tcPr>
                  <w:tcW w:w="3780"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维保基本标准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电动机与减速机联轴器螺栓</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曳引轮、导向轮轴承部</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无异常声，无振动，润滑良好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曳引轮槽</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制动器上检测开关</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工作正常，制动器动作可靠</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控制柜内各接线端子</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各接线紧固、整齐，线号齐全清晰</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控制柜各仪表</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显示正确，无积尘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7</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井道、对重、轿顶各反绳轮轴承部</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无异常声，无振动，润滑良好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8</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曳引绳、补偿绳</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磨损量、断丝数不超过要求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9</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曳引绳绳头组合</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螺母无松动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10</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限速器钢丝绳</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磨损量、断丝数不超过制造单位要求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11</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层门、轿门门扇</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门扇各相关间隙符合标准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12</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对重缓冲距</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adjustRightInd w:val="0"/>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13</w:t>
                  </w:r>
                </w:p>
              </w:tc>
              <w:tc>
                <w:tcPr>
                  <w:tcW w:w="3420" w:type="dxa"/>
                  <w:vAlign w:val="center"/>
                </w:tcPr>
                <w:p>
                  <w:pPr>
                    <w:widowControl/>
                    <w:adjustRightInd w:val="0"/>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补偿链（绳）与轿厢、对重接合处</w:t>
                  </w:r>
                </w:p>
              </w:tc>
              <w:tc>
                <w:tcPr>
                  <w:tcW w:w="3780" w:type="dxa"/>
                  <w:vAlign w:val="center"/>
                </w:tcPr>
                <w:p>
                  <w:pPr>
                    <w:widowControl/>
                    <w:adjustRightInd w:val="0"/>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固定、无松动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上下极限开关</w:t>
                  </w:r>
                </w:p>
              </w:tc>
              <w:tc>
                <w:tcPr>
                  <w:tcW w:w="378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工作正常</w:t>
                  </w:r>
                </w:p>
              </w:tc>
            </w:tr>
          </w:tbl>
          <w:p>
            <w:pPr>
              <w:spacing w:line="360" w:lineRule="auto"/>
              <w:rPr>
                <w:rFonts w:ascii="宋体" w:hAnsi="宋体"/>
                <w:color w:val="000000" w:themeColor="text1"/>
                <w:kern w:val="0"/>
                <w:szCs w:val="22"/>
                <w14:textFill>
                  <w14:solidFill>
                    <w14:schemeClr w14:val="tx1"/>
                  </w14:solidFill>
                </w14:textFill>
              </w:rPr>
            </w:pPr>
            <w:r>
              <w:rPr>
                <w:rFonts w:hint="eastAsia" w:ascii="宋体" w:hAnsi="宋体"/>
                <w:b/>
                <w:color w:val="000000" w:themeColor="text1"/>
                <w:kern w:val="0"/>
                <w:szCs w:val="22"/>
                <w14:textFill>
                  <w14:solidFill>
                    <w14:schemeClr w14:val="tx1"/>
                  </w14:solidFill>
                </w14:textFill>
              </w:rPr>
              <w:t>（四）电梯年检前的全面调整修理内容</w:t>
            </w:r>
          </w:p>
          <w:p>
            <w:pPr>
              <w:tabs>
                <w:tab w:val="left" w:pos="3510"/>
              </w:tabs>
              <w:spacing w:line="360" w:lineRule="auto"/>
              <w:ind w:firstLine="411" w:firstLineChars="196"/>
              <w:jc w:val="left"/>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年检前的维修保养是对电梯全面彻底的维修保养工作，年度维保项目（内容）和要求除符合表三的要求外，还应当符合表四的要求。</w:t>
            </w:r>
          </w:p>
          <w:p>
            <w:pPr>
              <w:adjustRightInd w:val="0"/>
              <w:snapToGrid w:val="0"/>
              <w:spacing w:line="360" w:lineRule="auto"/>
              <w:ind w:firstLine="422" w:firstLineChars="200"/>
              <w:rPr>
                <w:rFonts w:ascii="宋体" w:hAnsi="宋体" w:cs="宋体"/>
                <w:b/>
                <w:bCs/>
                <w:color w:val="000000" w:themeColor="text1"/>
                <w:kern w:val="0"/>
                <w14:textFill>
                  <w14:solidFill>
                    <w14:schemeClr w14:val="tx1"/>
                  </w14:solidFill>
                </w14:textFill>
              </w:rPr>
            </w:pPr>
            <w:r>
              <w:rPr>
                <w:rFonts w:hint="eastAsia" w:ascii="宋体" w:hAnsi="宋体" w:cs="宋体"/>
                <w:b/>
                <w:bCs/>
                <w:color w:val="000000" w:themeColor="text1"/>
                <w:kern w:val="0"/>
                <w14:textFill>
                  <w14:solidFill>
                    <w14:schemeClr w14:val="tx1"/>
                  </w14:solidFill>
                </w14:textFill>
              </w:rPr>
              <w:t>表四：年度维保项目（内容）和标准</w:t>
            </w:r>
          </w:p>
          <w:tbl>
            <w:tblPr>
              <w:tblStyle w:val="4"/>
              <w:tblW w:w="0" w:type="auto"/>
              <w:tblInd w:w="113"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15"/>
              <w:gridCol w:w="3420"/>
              <w:gridCol w:w="3498"/>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序号</w:t>
                  </w:r>
                </w:p>
              </w:tc>
              <w:tc>
                <w:tcPr>
                  <w:tcW w:w="3420"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维保项目（内容）</w:t>
                  </w:r>
                </w:p>
              </w:tc>
              <w:tc>
                <w:tcPr>
                  <w:tcW w:w="3498"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维保基本要求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减速机润滑油</w:t>
                  </w:r>
                </w:p>
              </w:tc>
              <w:tc>
                <w:tcPr>
                  <w:tcW w:w="3498"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按照制造单位要求适时更换，保证油质符合要求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2</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控制柜接触器，继电器触点</w:t>
                  </w:r>
                </w:p>
              </w:tc>
              <w:tc>
                <w:tcPr>
                  <w:tcW w:w="3498"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接触良好</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3</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制动器铁芯（柱塞）</w:t>
                  </w:r>
                </w:p>
              </w:tc>
              <w:tc>
                <w:tcPr>
                  <w:tcW w:w="3498"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bCs/>
                      <w:color w:val="000000" w:themeColor="text1"/>
                      <w:kern w:val="0"/>
                      <w14:textFill>
                        <w14:solidFill>
                          <w14:schemeClr w14:val="tx1"/>
                        </w14:solidFill>
                      </w14:textFill>
                    </w:rPr>
                    <w:t>进行</w:t>
                  </w:r>
                  <w:r>
                    <w:rPr>
                      <w:rFonts w:hint="eastAsia" w:ascii="宋体" w:hAnsi="宋体" w:cs="宋体"/>
                      <w:color w:val="000000" w:themeColor="text1"/>
                      <w:kern w:val="0"/>
                      <w14:textFill>
                        <w14:solidFill>
                          <w14:schemeClr w14:val="tx1"/>
                        </w14:solidFill>
                      </w14:textFill>
                    </w:rPr>
                    <w:t>清洁、润滑、</w:t>
                  </w:r>
                  <w:r>
                    <w:rPr>
                      <w:rFonts w:hint="eastAsia" w:ascii="宋体" w:hAnsi="宋体" w:cs="宋体"/>
                      <w:bCs/>
                      <w:color w:val="000000" w:themeColor="text1"/>
                      <w:kern w:val="0"/>
                      <w14:textFill>
                        <w14:solidFill>
                          <w14:schemeClr w14:val="tx1"/>
                        </w14:solidFill>
                      </w14:textFill>
                    </w:rPr>
                    <w:t>检查，</w:t>
                  </w:r>
                  <w:r>
                    <w:rPr>
                      <w:rFonts w:hint="eastAsia" w:ascii="宋体" w:hAnsi="宋体" w:cs="宋体"/>
                      <w:color w:val="000000" w:themeColor="text1"/>
                      <w:kern w:val="0"/>
                      <w14:textFill>
                        <w14:solidFill>
                          <w14:schemeClr w14:val="tx1"/>
                        </w14:solidFill>
                      </w14:textFill>
                    </w:rPr>
                    <w:t>磨损量不超过制造单位要求</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4</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制动器制动弹簧压缩量</w:t>
                  </w:r>
                </w:p>
              </w:tc>
              <w:tc>
                <w:tcPr>
                  <w:tcW w:w="3498"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符合制造单位要求，保持有足够的制动力</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5</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导电回路绝缘性能</w:t>
                  </w:r>
                  <w:r>
                    <w:rPr>
                      <w:rFonts w:hint="eastAsia" w:ascii="宋体" w:hAnsi="宋体" w:cs="宋体"/>
                      <w:bCs/>
                      <w:color w:val="000000" w:themeColor="text1"/>
                      <w:kern w:val="0"/>
                      <w14:textFill>
                        <w14:solidFill>
                          <w14:schemeClr w14:val="tx1"/>
                        </w14:solidFill>
                      </w14:textFill>
                    </w:rPr>
                    <w:t>测试</w:t>
                  </w:r>
                </w:p>
              </w:tc>
              <w:tc>
                <w:tcPr>
                  <w:tcW w:w="3498"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符合标准</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6</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限速器安全钳联动试验（每2年进行一次限速器动作速度校验）</w:t>
                  </w:r>
                </w:p>
              </w:tc>
              <w:tc>
                <w:tcPr>
                  <w:tcW w:w="3498"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7</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上行超速保护装置动作试验</w:t>
                  </w:r>
                </w:p>
              </w:tc>
              <w:tc>
                <w:tcPr>
                  <w:tcW w:w="3498"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工作正常</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4"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8</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轿顶、轿厢架、轿门及其附件安装螺栓</w:t>
                  </w:r>
                </w:p>
              </w:tc>
              <w:tc>
                <w:tcPr>
                  <w:tcW w:w="3498"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各螺栓紧固。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bCs/>
                      <w:color w:val="000000" w:themeColor="text1"/>
                      <w:kern w:val="0"/>
                      <w14:textFill>
                        <w14:solidFill>
                          <w14:schemeClr w14:val="tx1"/>
                        </w14:solidFill>
                      </w14:textFill>
                    </w:rPr>
                  </w:pPr>
                  <w:r>
                    <w:rPr>
                      <w:rFonts w:hint="eastAsia" w:ascii="宋体" w:hAnsi="宋体" w:cs="宋体"/>
                      <w:bCs/>
                      <w:color w:val="000000" w:themeColor="text1"/>
                      <w:kern w:val="0"/>
                      <w14:textFill>
                        <w14:solidFill>
                          <w14:schemeClr w14:val="tx1"/>
                        </w14:solidFill>
                      </w14:textFill>
                    </w:rPr>
                    <w:t>9</w:t>
                  </w:r>
                </w:p>
              </w:tc>
              <w:tc>
                <w:tcPr>
                  <w:tcW w:w="3420" w:type="dxa"/>
                  <w:vAlign w:val="center"/>
                </w:tcPr>
                <w:p>
                  <w:pPr>
                    <w:widowControl/>
                    <w:spacing w:line="360" w:lineRule="auto"/>
                    <w:rPr>
                      <w:rFonts w:ascii="宋体" w:hAnsi="宋体" w:cs="宋体"/>
                      <w:bCs/>
                      <w:color w:val="000000" w:themeColor="text1"/>
                      <w:kern w:val="0"/>
                      <w14:textFill>
                        <w14:solidFill>
                          <w14:schemeClr w14:val="tx1"/>
                        </w14:solidFill>
                      </w14:textFill>
                    </w:rPr>
                  </w:pPr>
                  <w:r>
                    <w:rPr>
                      <w:rFonts w:hint="eastAsia" w:ascii="宋体" w:hAnsi="宋体" w:cs="宋体"/>
                      <w:bCs/>
                      <w:color w:val="000000" w:themeColor="text1"/>
                      <w:kern w:val="0"/>
                      <w14:textFill>
                        <w14:solidFill>
                          <w14:schemeClr w14:val="tx1"/>
                        </w14:solidFill>
                      </w14:textFill>
                    </w:rPr>
                    <w:t>轿厢和对重的导轨支架</w:t>
                  </w:r>
                </w:p>
              </w:tc>
              <w:tc>
                <w:tcPr>
                  <w:tcW w:w="3498" w:type="dxa"/>
                  <w:vAlign w:val="center"/>
                </w:tcPr>
                <w:p>
                  <w:pPr>
                    <w:widowControl/>
                    <w:spacing w:line="360" w:lineRule="auto"/>
                    <w:rPr>
                      <w:rFonts w:ascii="宋体" w:hAnsi="宋体" w:cs="宋体"/>
                      <w:bCs/>
                      <w:color w:val="000000" w:themeColor="text1"/>
                      <w:kern w:val="0"/>
                      <w14:textFill>
                        <w14:solidFill>
                          <w14:schemeClr w14:val="tx1"/>
                        </w14:solidFill>
                      </w14:textFill>
                    </w:rPr>
                  </w:pPr>
                  <w:r>
                    <w:rPr>
                      <w:rFonts w:hint="eastAsia" w:ascii="宋体" w:hAnsi="宋体" w:cs="宋体"/>
                      <w:bCs/>
                      <w:color w:val="000000" w:themeColor="text1"/>
                      <w:kern w:val="0"/>
                      <w14:textFill>
                        <w14:solidFill>
                          <w14:schemeClr w14:val="tx1"/>
                        </w14:solidFill>
                      </w14:textFill>
                    </w:rPr>
                    <w:t xml:space="preserve">固定，无松动 </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bCs/>
                      <w:color w:val="000000" w:themeColor="text1"/>
                      <w:kern w:val="0"/>
                      <w14:textFill>
                        <w14:solidFill>
                          <w14:schemeClr w14:val="tx1"/>
                        </w14:solidFill>
                      </w14:textFill>
                    </w:rPr>
                  </w:pPr>
                  <w:r>
                    <w:rPr>
                      <w:rFonts w:hint="eastAsia" w:ascii="宋体" w:hAnsi="宋体" w:cs="宋体"/>
                      <w:bCs/>
                      <w:color w:val="000000" w:themeColor="text1"/>
                      <w:kern w:val="0"/>
                      <w14:textFill>
                        <w14:solidFill>
                          <w14:schemeClr w14:val="tx1"/>
                        </w14:solidFill>
                      </w14:textFill>
                    </w:rPr>
                    <w:t>10</w:t>
                  </w:r>
                </w:p>
              </w:tc>
              <w:tc>
                <w:tcPr>
                  <w:tcW w:w="3420" w:type="dxa"/>
                  <w:vAlign w:val="center"/>
                </w:tcPr>
                <w:p>
                  <w:pPr>
                    <w:widowControl/>
                    <w:spacing w:line="360" w:lineRule="auto"/>
                    <w:rPr>
                      <w:rFonts w:ascii="宋体" w:hAnsi="宋体" w:cs="宋体"/>
                      <w:bCs/>
                      <w:color w:val="000000" w:themeColor="text1"/>
                      <w:kern w:val="0"/>
                      <w14:textFill>
                        <w14:solidFill>
                          <w14:schemeClr w14:val="tx1"/>
                        </w14:solidFill>
                      </w14:textFill>
                    </w:rPr>
                  </w:pPr>
                  <w:r>
                    <w:rPr>
                      <w:rFonts w:hint="eastAsia" w:ascii="宋体" w:hAnsi="宋体"/>
                      <w:bCs/>
                      <w:color w:val="000000" w:themeColor="text1"/>
                      <w14:textFill>
                        <w14:solidFill>
                          <w14:schemeClr w14:val="tx1"/>
                        </w14:solidFill>
                      </w14:textFill>
                    </w:rPr>
                    <w:t>轿厢和对重的导轨</w:t>
                  </w:r>
                </w:p>
              </w:tc>
              <w:tc>
                <w:tcPr>
                  <w:tcW w:w="3498" w:type="dxa"/>
                  <w:vAlign w:val="center"/>
                </w:tcPr>
                <w:p>
                  <w:pPr>
                    <w:widowControl/>
                    <w:spacing w:line="360" w:lineRule="auto"/>
                    <w:rPr>
                      <w:rFonts w:ascii="宋体" w:hAnsi="宋体"/>
                      <w:bCs/>
                      <w:color w:val="000000" w:themeColor="text1"/>
                      <w14:textFill>
                        <w14:solidFill>
                          <w14:schemeClr w14:val="tx1"/>
                        </w14:solidFill>
                      </w14:textFill>
                    </w:rPr>
                  </w:pPr>
                  <w:r>
                    <w:rPr>
                      <w:rFonts w:hint="eastAsia" w:ascii="宋体" w:hAnsi="宋体"/>
                      <w:bCs/>
                      <w:color w:val="000000" w:themeColor="text1"/>
                      <w14:textFill>
                        <w14:solidFill>
                          <w14:schemeClr w14:val="tx1"/>
                        </w14:solidFill>
                      </w14:textFill>
                    </w:rPr>
                    <w:t>清洁，压板牢固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11</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随行电缆</w:t>
                  </w:r>
                </w:p>
              </w:tc>
              <w:tc>
                <w:tcPr>
                  <w:tcW w:w="3498"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无损伤、无碰铁现象</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12</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层门装置和地坎</w:t>
                  </w:r>
                </w:p>
              </w:tc>
              <w:tc>
                <w:tcPr>
                  <w:tcW w:w="3498"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无影响正常使用的变形，各安装螺栓紧固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13</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轿厢称重装置</w:t>
                  </w:r>
                </w:p>
              </w:tc>
              <w:tc>
                <w:tcPr>
                  <w:tcW w:w="3498"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准确有效</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14</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安全钳钳座</w:t>
                  </w:r>
                </w:p>
              </w:tc>
              <w:tc>
                <w:tcPr>
                  <w:tcW w:w="3498"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固定，无松动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15</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olor w:val="000000" w:themeColor="text1"/>
                      <w14:textFill>
                        <w14:solidFill>
                          <w14:schemeClr w14:val="tx1"/>
                        </w14:solidFill>
                      </w14:textFill>
                    </w:rPr>
                    <w:t>轿底各安装螺栓</w:t>
                  </w:r>
                </w:p>
              </w:tc>
              <w:tc>
                <w:tcPr>
                  <w:tcW w:w="3498" w:type="dxa"/>
                  <w:vAlign w:val="center"/>
                </w:tcPr>
                <w:p>
                  <w:pPr>
                    <w:widowControl/>
                    <w:spacing w:line="360" w:lineRule="auto"/>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紧固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9" w:hRule="atLeast"/>
              </w:trPr>
              <w:tc>
                <w:tcPr>
                  <w:tcW w:w="715" w:type="dxa"/>
                  <w:vAlign w:val="center"/>
                </w:tcPr>
                <w:p>
                  <w:pPr>
                    <w:widowControl/>
                    <w:spacing w:line="360" w:lineRule="auto"/>
                    <w:jc w:val="center"/>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16</w:t>
                  </w:r>
                </w:p>
              </w:tc>
              <w:tc>
                <w:tcPr>
                  <w:tcW w:w="3420"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缓冲器</w:t>
                  </w:r>
                </w:p>
              </w:tc>
              <w:tc>
                <w:tcPr>
                  <w:tcW w:w="3498" w:type="dxa"/>
                  <w:vAlign w:val="center"/>
                </w:tcPr>
                <w:p>
                  <w:pPr>
                    <w:widowControl/>
                    <w:spacing w:line="360" w:lineRule="auto"/>
                    <w:rPr>
                      <w:rFonts w:ascii="宋体" w:hAnsi="宋体" w:cs="宋体"/>
                      <w:color w:val="000000" w:themeColor="text1"/>
                      <w:kern w:val="0"/>
                      <w14:textFill>
                        <w14:solidFill>
                          <w14:schemeClr w14:val="tx1"/>
                        </w14:solidFill>
                      </w14:textFill>
                    </w:rPr>
                  </w:pPr>
                  <w:r>
                    <w:rPr>
                      <w:rFonts w:hint="eastAsia" w:ascii="宋体" w:hAnsi="宋体" w:cs="宋体"/>
                      <w:color w:val="000000" w:themeColor="text1"/>
                      <w:kern w:val="0"/>
                      <w14:textFill>
                        <w14:solidFill>
                          <w14:schemeClr w14:val="tx1"/>
                        </w14:solidFill>
                      </w14:textFill>
                    </w:rPr>
                    <w:t>固定，无松动</w:t>
                  </w:r>
                </w:p>
              </w:tc>
            </w:tr>
          </w:tbl>
          <w:p>
            <w:pPr>
              <w:pStyle w:val="2"/>
              <w:rPr>
                <w:color w:val="000000" w:themeColor="text1"/>
                <w14:textFill>
                  <w14:solidFill>
                    <w14:schemeClr w14:val="tx1"/>
                  </w14:solidFill>
                </w14:textFill>
              </w:rPr>
            </w:pP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三、项目要求</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（一）电梯维保服务标准和要求</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1.成交人按照《电梯监督检验和定期检验规则-曳引与强制驱动电梯》（TSG T7001-2009，含第1号修改单和第2号修改单）、《特种设备使用管理规则》（TSG 08-2017）、《电梯维护保养规则》（TSG T5001-2017）电梯日常维护保养规范等有关标准和要求为乘客电梯提供日常检查、保养、维修、应急处理及年检服务等，对电梯的正常安全运行负责，保障设备整机、零部件及相关配套的附属设施完好无损。</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2.成交人应按国家规定的电梯维修保养规程进行保养工作。完成半月、季度、半年、年度维保，并做好记录，确保电梯正常运行。</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3.成交人每年度至少进行一次自行检查，在特种设备检验检测机构定期检验之前进行自行检查，检查项目不少于年度维保和电梯定期检验规定的项目及内容，并且向采购人出具有自行检查和审核人员的签字、加盖成交人公章或其他专用章的自行检查记录或者报告。</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4.成交人的质量检查人员或管理人员应对电梯的维保质量进行不定期检查，并且进行记录。</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5.成交人按《电梯维护保养规则》要求配合使用单位制定应急措施和救援方案，至少每半年针对电梯、进行一次应急演练。</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6.参加采购人要求的有关会议；完成采购人临时安排的紧急工作。</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7.成交人在完成合同后应向采购人移交维保资料，维保资料应符合《电梯监督检验和定期检验规则-曳引与强制驱动电梯》（TSG T7001-2009，含第1号修改单和第2号修改单）、《特种设备使用管理规则》（TSG 08-2017）、《电梯维护保养规则》（TSG T5001-2017）的要求。</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（二） 电梯日常运行和保洁要求</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1.采购人委托成交人对电梯设备及附属设施进行维保，保证机房环境和消防、卫生等满足设备运行的条件。</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2.成交人应按采购人要求，安排电梯维保人员在电梯运行时间为日历日（含工作日及国家、地方规定的节假日）工作期间要严格遵守执行电梯使用安全管理制度，确保电梯安全使用。维保人员接到故障通知应在2个小时内到现场处理。</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3.电梯属于特种设备，所有上岗人员均要持证上岗（特种设备作业人员资格证A4、或T1、T2），并且要定期参加岗位培训，成交人需提供上岗人员名单、联系方式、值班记录和应急事件处置预案。</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（三）电梯维护保养除满足国家、地方相关要求外，还须包含以下内容</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1.保养前须先了解电梯运行情况，并挂警告牌或者放置隔离警戒护栏，才能开展维保工作;</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2.优先处理紧急情况；</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3.井道、轿顶、轿厢、底坑的卫生清洁；</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4.应急灯、警铃、电话和轿内指层灯、各按钮、控制开关等功能完好、无破损现象；</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5.安全触板、光电保护及其它保护装置动作符合相关要求；</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6.各层厅外指层灯、到站钟和召唤按钮、消防开关功能完好；</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7.厅门、滑块、强迫关门装置、厅门上/下坎等外观清洁，各部分间隙符合相关要求；</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8.轿门上/下坎、滑轮、门刀组件、轿门机构和开关门机构等，动作灵活，无撞击声，噪音低；</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9.开关、检修箱功能完好，安全窗、急停、安全钳开关、检修箱装置等功能完好；</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10.感应器、井道信息装置清洁无破损、无断线脱线现象；</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11.曳引钢丝绳、绳头组合、限速器钢丝绳、张紧度合适，无断股、松动现象；</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12.各限位开关、限速开关、极限开关等动作灵活、功能可靠；</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13.曳引机、制动器及电动机检查；</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14.控制柜各项检查、过流装置、短路保护及接触器检查、限速器安全钳联动试验；</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15.各润滑系统和油位；</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16.轿厢内应急灯功能完好；</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17.轿厢内与机房或外部的对讲系统功能完好。</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（四）成交人自备维保工具、通讯工具及交通工具</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1.成交后必须为本项目设立相应的服务人员，人员应保持相对固定。</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2.组织成员必须是富有经验的专业技术人员，负责对内对外的各种事务协调、技术服务工作。服务组织机构中必须设立项目安全负责人，并对安全文明服务工作负责，保证一切安全措施符合相关要求。</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3.报价人成交后提供组成人员的名单、工作时间安排、工作职责及联系方式等详细情况。</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4.成交人进行维护保养设备所需的材料、工具、仪表、检测元件在维修联络点应备有充足的备品备件及易损件。</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5.报价人所提供的产品和服务除满足本技术要求外，也须符合现行相关规范标准。</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（五）其他要求</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1.成交人定期派出专业人员到采购人电梯进行检查保养,以便能及时发现并排除各种故障隐患，每次检查保养工作结束后，须向采购人提交书面技术服务报告。</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2.成交人应为采购人提供技术咨询指导服务，负责提供检查、检修、检测、保养电梯所需的工具、仪表及相关设备。</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3.成交人必须确保所招标维保电梯在维保期间通过广西特种设备检验院合格的年度检测。</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4.成交人未能按合同要求完成上述约定的工作的，采购人有权解除合同，并由成交人承担相应的违约责任。</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5.如设备出现非人为的故障或不可抗拒的自然灾难造成的损坏，成交人不负赔偿责任，但成交人有责任尽最大努力和最快速度进行抢修机组，使机组尽快恢复正常运行。</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6、合同期内，设备使用、管理等与本项目相关所引起的安全事故责任全部由成交人承担,成交人必须为本项目维保的电梯购买电梯责任保险，为本项目维保、维修人员购买不低于100万人身意外保险。</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16" w:hRule="atLeast"/>
          <w:jc w:val="center"/>
        </w:trPr>
        <w:tc>
          <w:tcPr>
            <w:tcW w:w="563" w:type="dxa"/>
            <w:tcBorders>
              <w:top w:val="single" w:color="auto" w:sz="4" w:space="0"/>
              <w:bottom w:val="single" w:color="auto" w:sz="4" w:space="0"/>
              <w:right w:val="single" w:color="auto" w:sz="4" w:space="0"/>
            </w:tcBorders>
            <w:tcMar>
              <w:top w:w="0" w:type="dxa"/>
              <w:left w:w="0" w:type="dxa"/>
              <w:bottom w:w="0" w:type="dxa"/>
              <w:right w:w="0" w:type="dxa"/>
            </w:tcMar>
            <w:vAlign w:val="center"/>
          </w:tcPr>
          <w:p>
            <w:pPr>
              <w:jc w:val="center"/>
              <w:rPr>
                <w:rFonts w:ascii="宋体" w:cs="Times New Roman"/>
                <w:color w:val="000000" w:themeColor="text1"/>
                <w14:textFill>
                  <w14:solidFill>
                    <w14:schemeClr w14:val="tx1"/>
                  </w14:solidFill>
                </w14:textFill>
              </w:rPr>
            </w:pPr>
            <w:r>
              <w:rPr>
                <w:rFonts w:hint="eastAsia" w:ascii="宋体" w:hAnsi="宋体" w:cs="宋体"/>
                <w:color w:val="000000" w:themeColor="text1"/>
                <w14:textFill>
                  <w14:solidFill>
                    <w14:schemeClr w14:val="tx1"/>
                  </w14:solidFill>
                </w14:textFill>
              </w:rPr>
              <w:t>商务条款</w:t>
            </w:r>
          </w:p>
        </w:tc>
        <w:tc>
          <w:tcPr>
            <w:tcW w:w="10210" w:type="dxa"/>
            <w:gridSpan w:val="3"/>
            <w:tcBorders>
              <w:top w:val="single" w:color="auto" w:sz="4" w:space="0"/>
              <w:left w:val="single" w:color="auto" w:sz="4" w:space="0"/>
              <w:bottom w:val="single" w:color="auto" w:sz="4" w:space="0"/>
            </w:tcBorders>
            <w:vAlign w:val="center"/>
          </w:tcPr>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一、合同签订期：自采购结果公告结束之日起7个工作日内。</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二、提交服务成果时间：自合同签订之日起一年。</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三、提交服务成果地点：南宁中心血站业务副楼。</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四、售后服务要求：</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1、服务期限：自合同签订之日起1年。服务期满后，采购人可以视成交人的服务质量情况，在服务及服务价格不变的情况下，决定是否续签服务合同。</w:t>
            </w:r>
          </w:p>
          <w:p>
            <w:pPr>
              <w:pStyle w:val="2"/>
              <w:numPr>
                <w:ilvl w:val="0"/>
                <w:numId w:val="4"/>
              </w:numPr>
              <w:rPr>
                <w:color w:val="000000" w:themeColor="text1"/>
                <w14:textFill>
                  <w14:solidFill>
                    <w14:schemeClr w14:val="tx1"/>
                  </w14:solidFill>
                </w14:textFill>
              </w:rPr>
            </w:pPr>
            <w:r>
              <w:rPr>
                <w:rFonts w:hint="eastAsia"/>
                <w:color w:val="000000" w:themeColor="text1"/>
                <w14:textFill>
                  <w14:solidFill>
                    <w14:schemeClr w14:val="tx1"/>
                  </w14:solidFill>
                </w14:textFill>
              </w:rPr>
              <w:t>处理问题响应时间：接到采购人处理问题通知后2小时内到达采购人指定现场。</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五、其他要求：</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1、报价必须含以下部分：</w:t>
            </w:r>
          </w:p>
          <w:p>
            <w:pPr>
              <w:pStyle w:val="2"/>
              <w:numPr>
                <w:ilvl w:val="0"/>
                <w:numId w:val="5"/>
              </w:numPr>
              <w:rPr>
                <w:color w:val="000000" w:themeColor="text1"/>
                <w14:textFill>
                  <w14:solidFill>
                    <w14:schemeClr w14:val="tx1"/>
                  </w14:solidFill>
                </w14:textFill>
              </w:rPr>
            </w:pPr>
            <w:r>
              <w:rPr>
                <w:rFonts w:hint="eastAsia"/>
                <w:color w:val="000000" w:themeColor="text1"/>
                <w14:textFill>
                  <w14:solidFill>
                    <w14:schemeClr w14:val="tx1"/>
                  </w14:solidFill>
                </w14:textFill>
              </w:rPr>
              <w:t>服务价格；</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（2）各项费用包括：</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sym w:font="Wingdings" w:char="F081"/>
            </w:r>
            <w:r>
              <w:rPr>
                <w:rFonts w:hint="eastAsia"/>
                <w:color w:val="000000" w:themeColor="text1"/>
                <w14:textFill>
                  <w14:solidFill>
                    <w14:schemeClr w14:val="tx1"/>
                  </w14:solidFill>
                </w14:textFill>
              </w:rPr>
              <w:t>管理、服务人员的工资和按规定提取的福利费、保险费等。</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sym w:font="Wingdings" w:char="F082"/>
            </w:r>
            <w:r>
              <w:rPr>
                <w:rFonts w:hint="eastAsia"/>
                <w:color w:val="000000" w:themeColor="text1"/>
                <w14:textFill>
                  <w14:solidFill>
                    <w14:schemeClr w14:val="tx1"/>
                  </w14:solidFill>
                </w14:textFill>
              </w:rPr>
              <w:t>服务单位的办公费、固定资产折旧费、利润。</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sym w:font="Wingdings" w:char="F083"/>
            </w:r>
            <w:r>
              <w:rPr>
                <w:rFonts w:hint="eastAsia"/>
                <w:color w:val="000000" w:themeColor="text1"/>
                <w14:textFill>
                  <w14:solidFill>
                    <w14:schemeClr w14:val="tx1"/>
                  </w14:solidFill>
                </w14:textFill>
              </w:rPr>
              <w:t>培训、技术支持、售后服务、项目交接期属于成交人应支付的费用。</w:t>
            </w:r>
          </w:p>
          <w:p>
            <w:pPr>
              <w:pStyle w:val="2"/>
              <w:rPr>
                <w:color w:val="000000" w:themeColor="text1"/>
                <w14:textFill>
                  <w14:solidFill>
                    <w14:schemeClr w14:val="tx1"/>
                  </w14:solidFill>
                </w14:textFill>
              </w:rPr>
            </w:pPr>
            <w:r>
              <w:rPr>
                <w:rFonts w:hint="eastAsia"/>
                <w:color w:val="000000" w:themeColor="text1"/>
                <w14:textFill>
                  <w14:solidFill>
                    <w14:schemeClr w14:val="tx1"/>
                  </w14:solidFill>
                </w14:textFill>
              </w:rPr>
              <w:t>④各种税费。</w:t>
            </w:r>
          </w:p>
          <w:p>
            <w:pPr>
              <w:pStyle w:val="2"/>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2</w:t>
            </w:r>
            <w:r>
              <w:rPr>
                <w:rFonts w:hint="eastAsia"/>
                <w:color w:val="000000" w:themeColor="text1"/>
                <w14:textFill>
                  <w14:solidFill>
                    <w14:schemeClr w14:val="tx1"/>
                  </w14:solidFill>
                </w14:textFill>
              </w:rPr>
              <w:t>、成交单位不得将整体管理责任及利益转让给其他单位和个人。</w:t>
            </w:r>
          </w:p>
          <w:p>
            <w:pPr>
              <w:pStyle w:val="2"/>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3</w:t>
            </w:r>
            <w:r>
              <w:rPr>
                <w:rFonts w:hint="eastAsia"/>
                <w:color w:val="000000" w:themeColor="text1"/>
                <w14:textFill>
                  <w14:solidFill>
                    <w14:schemeClr w14:val="tx1"/>
                  </w14:solidFill>
                </w14:textFill>
              </w:rPr>
              <w:t>、报价人在南宁市区内设有合法正规经营场所，或报价人承诺成交后在南宁市区内设立售后服务机构。</w:t>
            </w:r>
          </w:p>
          <w:p>
            <w:pPr>
              <w:pStyle w:val="2"/>
              <w:rPr>
                <w:color w:val="000000" w:themeColor="text1"/>
                <w14:textFill>
                  <w14:solidFill>
                    <w14:schemeClr w14:val="tx1"/>
                  </w14:solidFill>
                </w14:textFill>
              </w:rPr>
            </w:pPr>
            <w:r>
              <w:rPr>
                <w:rFonts w:hint="eastAsia"/>
                <w:color w:val="000000" w:themeColor="text1"/>
                <w:lang w:val="en-US" w:eastAsia="zh-CN"/>
                <w14:textFill>
                  <w14:solidFill>
                    <w14:schemeClr w14:val="tx1"/>
                  </w14:solidFill>
                </w14:textFill>
              </w:rPr>
              <w:t>4</w:t>
            </w:r>
            <w:r>
              <w:rPr>
                <w:rFonts w:hint="eastAsia"/>
                <w:color w:val="000000" w:themeColor="text1"/>
                <w14:textFill>
                  <w14:solidFill>
                    <w14:schemeClr w14:val="tx1"/>
                  </w14:solidFill>
                </w14:textFill>
              </w:rPr>
              <w:t>、具有较强技术和服务能力，配有较强的专业技术服务队伍，能提供快速的服务响应。</w:t>
            </w:r>
          </w:p>
          <w:p>
            <w:pPr>
              <w:pStyle w:val="2"/>
              <w:rPr>
                <w:rFonts w:ascii="宋体" w:hAnsi="宋体"/>
                <w:color w:val="000000" w:themeColor="text1"/>
                <w14:textFill>
                  <w14:solidFill>
                    <w14:schemeClr w14:val="tx1"/>
                  </w14:solidFill>
                </w14:textFill>
              </w:rPr>
            </w:pPr>
            <w:r>
              <w:rPr>
                <w:rFonts w:hint="eastAsia"/>
                <w:color w:val="000000" w:themeColor="text1"/>
                <w14:textFill>
                  <w14:solidFill>
                    <w14:schemeClr w14:val="tx1"/>
                  </w14:solidFill>
                </w14:textFill>
              </w:rPr>
              <w:t>六、</w:t>
            </w:r>
            <w:r>
              <w:rPr>
                <w:rFonts w:hint="eastAsia" w:ascii="宋体" w:hAnsi="宋体"/>
                <w:color w:val="000000" w:themeColor="text1"/>
                <w14:textFill>
                  <w14:solidFill>
                    <w14:schemeClr w14:val="tx1"/>
                  </w14:solidFill>
                </w14:textFill>
              </w:rPr>
              <w:t>付款方式：</w:t>
            </w:r>
          </w:p>
          <w:p>
            <w:pPr>
              <w:pStyle w:val="2"/>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1、本项目合同签订</w:t>
            </w:r>
            <w:r>
              <w:rPr>
                <w:rFonts w:hint="eastAsia" w:ascii="宋体" w:hAnsi="宋体"/>
                <w:color w:val="000000" w:themeColor="text1"/>
                <w:lang w:eastAsia="zh-CN"/>
                <w14:textFill>
                  <w14:solidFill>
                    <w14:schemeClr w14:val="tx1"/>
                  </w14:solidFill>
                </w14:textFill>
              </w:rPr>
              <w:t>三个月</w:t>
            </w:r>
            <w:r>
              <w:rPr>
                <w:rFonts w:hint="eastAsia" w:ascii="宋体" w:hAnsi="宋体"/>
                <w:color w:val="000000" w:themeColor="text1"/>
                <w14:textFill>
                  <w14:solidFill>
                    <w14:schemeClr w14:val="tx1"/>
                  </w14:solidFill>
                </w14:textFill>
              </w:rPr>
              <w:t>后支付50%</w:t>
            </w:r>
            <w:r>
              <w:rPr>
                <w:rFonts w:hint="eastAsia" w:ascii="宋体" w:hAnsi="宋体"/>
                <w:color w:val="000000" w:themeColor="text1"/>
                <w:lang w:eastAsia="zh-CN"/>
                <w14:textFill>
                  <w14:solidFill>
                    <w14:schemeClr w14:val="tx1"/>
                  </w14:solidFill>
                </w14:textFill>
              </w:rPr>
              <w:t>服务款</w:t>
            </w:r>
            <w:r>
              <w:rPr>
                <w:rFonts w:hint="eastAsia" w:ascii="宋体" w:hAnsi="宋体"/>
                <w:color w:val="000000" w:themeColor="text1"/>
                <w14:textFill>
                  <w14:solidFill>
                    <w14:schemeClr w14:val="tx1"/>
                  </w14:solidFill>
                </w14:textFill>
              </w:rPr>
              <w:t>，合同期满</w:t>
            </w:r>
            <w:r>
              <w:rPr>
                <w:rFonts w:hint="eastAsia" w:ascii="宋体" w:hAnsi="宋体"/>
                <w:color w:val="000000" w:themeColor="text1"/>
                <w:lang w:eastAsia="zh-CN"/>
                <w14:textFill>
                  <w14:solidFill>
                    <w14:schemeClr w14:val="tx1"/>
                  </w14:solidFill>
                </w14:textFill>
              </w:rPr>
              <w:t>视考核情况支付剩余</w:t>
            </w:r>
            <w:r>
              <w:rPr>
                <w:rFonts w:hint="eastAsia" w:ascii="宋体" w:hAnsi="宋体"/>
                <w:color w:val="000000" w:themeColor="text1"/>
                <w14:textFill>
                  <w14:solidFill>
                    <w14:schemeClr w14:val="tx1"/>
                  </w14:solidFill>
                </w14:textFill>
              </w:rPr>
              <w:t>服务款</w:t>
            </w:r>
            <w:r>
              <w:rPr>
                <w:rFonts w:hint="eastAsia" w:ascii="宋体" w:hAnsi="宋体"/>
                <w:color w:val="000000" w:themeColor="text1"/>
                <w:lang w:eastAsia="zh-CN"/>
                <w14:textFill>
                  <w14:solidFill>
                    <w14:schemeClr w14:val="tx1"/>
                  </w14:solidFill>
                </w14:textFill>
              </w:rPr>
              <w:t>（采购人每三个月对服务商提供的服务进行考核，考核结果为不合格则扣除</w:t>
            </w:r>
            <w:r>
              <w:rPr>
                <w:rFonts w:hint="eastAsia" w:ascii="宋体" w:hAnsi="宋体"/>
                <w:color w:val="000000" w:themeColor="text1"/>
                <w:lang w:val="en-US" w:eastAsia="zh-CN"/>
                <w14:textFill>
                  <w14:solidFill>
                    <w14:schemeClr w14:val="tx1"/>
                  </w14:solidFill>
                </w14:textFill>
              </w:rPr>
              <w:t>10%服务款，出现两次考核结果为不合格的情况，采购人有权解除合同</w:t>
            </w:r>
            <w:r>
              <w:rPr>
                <w:rFonts w:hint="eastAsia" w:ascii="宋体" w:hAnsi="宋体"/>
                <w:color w:val="000000" w:themeColor="text1"/>
                <w:lang w:eastAsia="zh-CN"/>
                <w14:textFill>
                  <w14:solidFill>
                    <w14:schemeClr w14:val="tx1"/>
                  </w14:solidFill>
                </w14:textFill>
              </w:rPr>
              <w:t>）</w:t>
            </w:r>
            <w:r>
              <w:rPr>
                <w:rFonts w:hint="eastAsia" w:ascii="宋体" w:hAnsi="宋体"/>
                <w:color w:val="000000" w:themeColor="text1"/>
                <w14:textFill>
                  <w14:solidFill>
                    <w14:schemeClr w14:val="tx1"/>
                  </w14:solidFill>
                </w14:textFill>
              </w:rPr>
              <w:t>。</w:t>
            </w:r>
          </w:p>
          <w:p>
            <w:pPr>
              <w:pStyle w:val="2"/>
              <w:rPr>
                <w:rFonts w:ascii="宋体" w:hAnsi="宋体"/>
                <w:color w:val="000000" w:themeColor="text1"/>
                <w14:textFill>
                  <w14:solidFill>
                    <w14:schemeClr w14:val="tx1"/>
                  </w14:solidFill>
                </w14:textFill>
              </w:rPr>
            </w:pPr>
            <w:r>
              <w:rPr>
                <w:rFonts w:hint="eastAsia" w:ascii="宋体" w:hAnsi="宋体"/>
                <w:color w:val="000000" w:themeColor="text1"/>
                <w14:textFill>
                  <w14:solidFill>
                    <w14:schemeClr w14:val="tx1"/>
                  </w14:solidFill>
                </w14:textFill>
              </w:rPr>
              <w:t>2、采购方付款前需收到服务商开具的正规发票。</w:t>
            </w:r>
          </w:p>
        </w:tc>
      </w:tr>
    </w:tbl>
    <w:p>
      <w:pPr>
        <w:pStyle w:val="2"/>
        <w:outlineLvl w:val="0"/>
        <w:rPr>
          <w:rFonts w:ascii="宋体" w:hAnsi="Courier New" w:cs="宋体"/>
          <w:b/>
          <w:bCs/>
          <w:color w:val="000000" w:themeColor="text1"/>
          <w:sz w:val="32"/>
          <w:szCs w:val="32"/>
          <w14:textFill>
            <w14:solidFill>
              <w14:schemeClr w14:val="tx1"/>
            </w14:solidFill>
          </w14:textFill>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8E59C8"/>
    <w:multiLevelType w:val="singleLevel"/>
    <w:tmpl w:val="CF8E59C8"/>
    <w:lvl w:ilvl="0" w:tentative="0">
      <w:start w:val="1"/>
      <w:numFmt w:val="chineseCounting"/>
      <w:suff w:val="nothing"/>
      <w:lvlText w:val="%1、"/>
      <w:lvlJc w:val="left"/>
      <w:rPr>
        <w:rFonts w:hint="eastAsia"/>
      </w:rPr>
    </w:lvl>
  </w:abstractNum>
  <w:abstractNum w:abstractNumId="1">
    <w:nsid w:val="E6FA279B"/>
    <w:multiLevelType w:val="singleLevel"/>
    <w:tmpl w:val="E6FA279B"/>
    <w:lvl w:ilvl="0" w:tentative="0">
      <w:start w:val="1"/>
      <w:numFmt w:val="decimal"/>
      <w:suff w:val="nothing"/>
      <w:lvlText w:val="（%1）"/>
      <w:lvlJc w:val="left"/>
    </w:lvl>
  </w:abstractNum>
  <w:abstractNum w:abstractNumId="2">
    <w:nsid w:val="21921C98"/>
    <w:multiLevelType w:val="singleLevel"/>
    <w:tmpl w:val="21921C98"/>
    <w:lvl w:ilvl="0" w:tentative="0">
      <w:start w:val="2"/>
      <w:numFmt w:val="decimal"/>
      <w:suff w:val="nothing"/>
      <w:lvlText w:val="%1、"/>
      <w:lvlJc w:val="left"/>
    </w:lvl>
  </w:abstractNum>
  <w:abstractNum w:abstractNumId="3">
    <w:nsid w:val="25E3391F"/>
    <w:multiLevelType w:val="multilevel"/>
    <w:tmpl w:val="25E3391F"/>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65295D75"/>
    <w:multiLevelType w:val="singleLevel"/>
    <w:tmpl w:val="65295D75"/>
    <w:lvl w:ilvl="0" w:tentative="0">
      <w:start w:val="1"/>
      <w:numFmt w:val="decimal"/>
      <w:suff w:val="nothing"/>
      <w:lvlText w:val="%1、"/>
      <w:lvlJc w:val="left"/>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F2B61AB"/>
    <w:rsid w:val="4F2B61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qFormat/>
    <w:uiPriority w:val="99"/>
    <w:pPr>
      <w:spacing w:after="120"/>
    </w:pPr>
    <w:rPr>
      <w:rFonts w:ascii="Times New Roman" w:hAnsi="Times New Roman" w:cs="Times New Roman"/>
    </w:rPr>
  </w:style>
  <w:style w:type="paragraph" w:styleId="3">
    <w:name w:val="Plain Text"/>
    <w:basedOn w:val="1"/>
    <w:qFormat/>
    <w:uiPriority w:val="99"/>
    <w:rPr>
      <w:rFonts w:ascii="宋体" w:hAnsi="Courier New" w:cs="宋体"/>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Office_11.1.0.10356_F1E327BC-269C-435d-A152-05C5408002CA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2021-04-08T04:47:00Z</dcterms:created>
  <dc:creator>WPS</dc:creator>
  <cp:lastModifiedBy>WPS</cp:lastModifiedBy>
  <dcterms:modified xsi:type="dcterms:W3CDTF">2021-04-08T04:48:21Z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2052-11.1.0.10356</vt:lpwstr>
  </property>
  <property fmtid="{D5CDD505-2E9C-101B-9397-08002B2CF9AE}" pid="3" name="ICV">
    <vt:lpwstr>AF0CBE7B086145659089001D1F56F70D</vt:lpwstr>
  </property>
</Properties>
</file>