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t>附件1</w:t>
      </w:r>
    </w:p>
    <w:p>
      <w:pPr>
        <w:pStyle w:val="4"/>
        <w:jc w:val="center"/>
        <w:rPr>
          <w:b/>
          <w:color w:val="auto"/>
          <w:sz w:val="32"/>
        </w:rPr>
      </w:pPr>
      <w:bookmarkStart w:id="0" w:name="_GoBack"/>
      <w:r>
        <w:rPr>
          <w:rFonts w:hint="eastAsia"/>
          <w:b/>
          <w:color w:val="auto"/>
          <w:sz w:val="32"/>
        </w:rPr>
        <w:t>采购需求一览表</w:t>
      </w:r>
      <w:bookmarkEnd w:id="0"/>
    </w:p>
    <w:p>
      <w:pPr>
        <w:pStyle w:val="4"/>
        <w:ind w:firstLine="210" w:firstLineChars="100"/>
        <w:rPr>
          <w:rFonts w:hint="default" w:asciiTheme="minorEastAsia" w:hAnsiTheme="minorEastAsia" w:eastAsiaTheme="minorEastAsia" w:cstheme="minorEastAsia"/>
          <w:color w:val="auto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auto"/>
          <w:szCs w:val="21"/>
          <w:lang w:eastAsia="zh-CN"/>
        </w:rPr>
        <w:t>说明：</w:t>
      </w:r>
      <w:r>
        <w:rPr>
          <w:rFonts w:hint="eastAsia" w:ascii="宋体" w:hAnsi="宋体"/>
          <w:b/>
          <w:color w:val="auto"/>
        </w:rPr>
        <w:t>本</w:t>
      </w:r>
      <w:r>
        <w:rPr>
          <w:rFonts w:hint="eastAsia" w:ascii="宋体" w:hAnsi="宋体"/>
          <w:b/>
          <w:color w:val="auto"/>
          <w:lang w:eastAsia="zh-CN"/>
        </w:rPr>
        <w:t>采购</w:t>
      </w:r>
      <w:r>
        <w:rPr>
          <w:rFonts w:hint="eastAsia" w:ascii="宋体" w:hAnsi="宋体"/>
          <w:b/>
          <w:color w:val="auto"/>
        </w:rPr>
        <w:t>需求一览表中标注</w:t>
      </w:r>
      <w:r>
        <w:rPr>
          <w:rFonts w:hint="eastAsia" w:ascii="宋体" w:hAnsi="宋体"/>
          <w:color w:val="auto"/>
          <w:szCs w:val="21"/>
        </w:rPr>
        <w:t>★</w:t>
      </w:r>
      <w:r>
        <w:rPr>
          <w:rFonts w:hint="eastAsia" w:ascii="宋体" w:hAnsi="宋体"/>
          <w:b/>
          <w:color w:val="auto"/>
        </w:rPr>
        <w:t>号的内容为实质性要求和条件</w:t>
      </w:r>
      <w:r>
        <w:rPr>
          <w:rFonts w:hint="eastAsia" w:hAnsi="宋体"/>
          <w:b/>
          <w:color w:val="auto"/>
          <w:lang w:eastAsia="zh-CN"/>
        </w:rPr>
        <w:t>，响应</w:t>
      </w:r>
      <w:r>
        <w:rPr>
          <w:rFonts w:hint="eastAsia" w:ascii="宋体" w:hAnsi="宋体" w:cs="宋体"/>
          <w:b/>
          <w:color w:val="auto"/>
          <w:kern w:val="1"/>
          <w:szCs w:val="21"/>
        </w:rPr>
        <w:t>人必须满足或优于，不满足或负偏离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视为</w:t>
      </w:r>
      <w:r>
        <w:rPr>
          <w:rFonts w:hint="eastAsia" w:ascii="宋体" w:hAnsi="宋体" w:cs="宋体"/>
          <w:b/>
          <w:color w:val="auto"/>
          <w:kern w:val="1"/>
          <w:szCs w:val="21"/>
        </w:rPr>
        <w:t>无效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响应；未标注</w:t>
      </w:r>
      <w:r>
        <w:rPr>
          <w:rFonts w:hint="eastAsia" w:ascii="宋体" w:hAnsi="宋体"/>
          <w:color w:val="auto"/>
          <w:szCs w:val="21"/>
        </w:rPr>
        <w:t>★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号的条款和要求，不满足或负偏离达</w:t>
      </w:r>
      <w:r>
        <w:rPr>
          <w:rFonts w:hint="eastAsia" w:ascii="宋体" w:hAnsi="宋体" w:cs="宋体"/>
          <w:b/>
          <w:color w:val="auto"/>
          <w:kern w:val="1"/>
          <w:szCs w:val="21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项（含）以上的，</w:t>
      </w:r>
      <w:r>
        <w:rPr>
          <w:rFonts w:hint="eastAsia" w:hAnsi="宋体" w:cs="宋体"/>
          <w:b/>
          <w:color w:val="auto"/>
          <w:kern w:val="1"/>
          <w:szCs w:val="21"/>
          <w:lang w:eastAsia="zh-CN"/>
        </w:rPr>
        <w:t>视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为</w:t>
      </w:r>
      <w:r>
        <w:rPr>
          <w:rFonts w:hint="eastAsia" w:ascii="宋体" w:hAnsi="宋体" w:cs="宋体"/>
          <w:b/>
          <w:color w:val="auto"/>
          <w:kern w:val="1"/>
          <w:szCs w:val="21"/>
        </w:rPr>
        <w:t>无效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响应。</w:t>
      </w:r>
    </w:p>
    <w:tbl>
      <w:tblPr>
        <w:tblStyle w:val="6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23"/>
        <w:gridCol w:w="739"/>
        <w:gridCol w:w="1211"/>
        <w:gridCol w:w="4089"/>
        <w:gridCol w:w="1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项号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名称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数量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单位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技术参数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参考品牌及型号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16"/>
                <w:szCs w:val="16"/>
              </w:rPr>
            </w:pPr>
            <w:r>
              <w:rPr>
                <w:rFonts w:ascii="宋体" w:hAnsi="宋体"/>
                <w:color w:val="auto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鹅颈会议话筒（配置同品牌底座）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只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★1、超指向收音头，收音角度不大于90°。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★2、射频干扰(RFI)屏敝技术，防止射频干扰，避免收音时受到手提电话等的干扰。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★3、内置前置放大器供电模组和小型隐藏高通滤波开关，可设定 80 Hz 高通滤波或平直响应。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4、型式：固定充电背板，静电型电容式。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5、频率响应不小于：35-18KHz。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6、开通灵敏度不大于：- 35 dB (17.7 mV) re 1V at 1 Pa。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7、最大输入声压级不小于：135 dB SPL (1KHz,THD 1%) 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★8、动态范围（典型值）：113 dB (1KHz at Max dB SPL)。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9、信噪比不小于：74 dB (1KHz at 1 Pa)。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★10、附有双层式防风海棉罩，可减低在讲话时的喷气声及其他风声情况出现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eastAsiaTheme="minorEastAsia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default" w:eastAsiaTheme="minorEastAsia"/>
                <w:color w:val="auto"/>
                <w:sz w:val="16"/>
                <w:szCs w:val="16"/>
                <w:lang w:val="en-US" w:eastAsia="zh-CN"/>
              </w:rPr>
              <w:t>Audio-technica/日本</w:t>
            </w:r>
            <w:r>
              <w:rPr>
                <w:rFonts w:hint="eastAsia"/>
                <w:color w:val="auto"/>
                <w:sz w:val="16"/>
                <w:szCs w:val="16"/>
                <w:lang w:val="en-US" w:eastAsia="zh-CN"/>
              </w:rPr>
              <w:t xml:space="preserve"> U857QSU （需要与我站现有话筒同型号）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演讲台话筒（配置同品牌底座）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只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★1、电容式超心形指向性话筒，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2、鹅颈的设计，可将收音头灵活调校到任何位置，并附有防风海棉罩，可减低在讲话时收到不雅的喷气声及其它风声的情况出现。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3、配备有航空金属材料和 UniGuard® - 射频干扰(RFI)屏敝技术，特别适合亚洲语种的音头设计和提供杰出的防止射频干扰能力，避免收音时受到如手提电话等的干扰。话筒亦符合RoHS规格，在构造上不含有欧盟禁用的危害性物质。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3、内置的供电模块使用直流11V 至52V 幻象供电工作。而外壳上的一个隐藏的小型开关 UniSteep® ，可设定 80 Hz 高通滤波及平直回应。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4、元件：固定式充电背板，静电型电容式；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6、指向特性： 超心型单指向性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7、频率响应：35～20000Hz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8、高通滤波：90 Hz, 18 dB/octave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9、开路灵敏度：-37dB((14.1 mV) 以 1V 于 1 Pa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10、阻抗：250欧姆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★11、最大输入声压级：141 dB 声压, 1 kHz 于 1% T.H.D.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12、动态范围：112 dB, 1 kHz 于最高声压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13、信噪比：68 dB, 1 kHz 于 1Pa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14、开关：平直，高通滤波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15、幻象电源：直流 11-52V DC, 耗电 4 mA 典型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16、长度：457.2 mm - 长, 8.4 mm - 收音头直径, 18.9 mm - 底部直径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17、标配：双层式防风海棉罩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一拖二无线手持话筒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套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1、 机架安装系统，采用双接收器底座和远程安装接收装置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2、 可选用手持式、腰包式、界面式、底座鹅颈式等多种配置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3、 同时满足娱乐KTV使用需求和无线鹅颈话筒会议需求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 最多可使用随附的RJ12 电缆连接五个底座（10 台接收装置)，提高多通道系统的稳定性。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5、 工作频率:2.4 GHz ISM 频带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6、 动态范围 (典型值):&gt;109 dB (A-加权)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7、 工作范围 60米 无干扰信号的开阔环境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8、 工作温度范围 0°C至＋40°C温度极低时电池性能会下降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9、 频率响应 20Hz作频20kHz取决于话筒类型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10、 音频取样 24比特/48kHz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11、 延迟 3.8ms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12、 ATW-RC13 接收机底座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13、 最大输出音电平 XLR,平衡: 0 dBV1/4" (6.3mm),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14、 非平衡: +6 dBV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15、 电源 100-240V AC (50/60 Hz) 至 12V DC 0.5A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16、 电源开关模式，外置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17、 尺寸 209.8 mm宽 x 44 mm高 x 169.3 mm深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18、 净重 940克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19、 远程接收器连接端子 RJ45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20、 链路连接 RJ12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21、 附件 交流适配器、连接线、机架安装适配器、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22、 连接板、橡胶垫脚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23、 手持式发射器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24、 射频输出功率 10mW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25、 杂散发射 按照当地地区法规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26、 电池（未提供） 两节 1.5V AA型5号电池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27、 电池寿命 &gt;7小时（碱性电池） 取决于电池类型和使用模式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28、 尺寸 70.2 mm宽 x 107.0 mm高 x 24.9 mm深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29、 净重（不含电池） 100克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30、 附件 AT8456a Quiet-Flex™ 固定话筒夹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★31、为确保音色一致，所有话筒须为同一品牌。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主扩声音箱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只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功率：1200W峰值功率, 300W额定功率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2、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频率响应(-10dB)：50Hz-20kHz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3、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标称阻抗：8欧姆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4、灵敏度：96dB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★5、额定峰值最大声压级:131dB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★6、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覆盖角度:90º x 60º（号角可旋转）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7、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箱体材料:桦木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8、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颜色/涂层:黑色/ISO-FLEX涂层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9、接口: 2XNL4专用音箱接口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10、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尺寸(HxWxD):62x38x38cm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11、重量:19KG 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后场补声音箱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只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功率：1200W峰值功率, 300W额定功率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2、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频率响应(-10dB)：50Hz-20kHz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3、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标称阻抗：8欧姆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4、灵敏度：96dB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★5、额定峰值最大声压级:131dB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★6、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覆盖角度:90º x 60º（号角可旋转）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7、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箱体材料:桦木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8、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颜色/涂层:黑色/ISO-FLEX涂层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9、接口: 2XNL4专用音箱接口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10、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尺寸(HxWxD):62x38x38cm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11、重量:19KG 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主席台返送音箱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只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功率：1200W峰值功率, 300W额定功率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2、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频率响应(-10dB)：50Hz-20kHz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3、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标称阻抗：8欧姆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4、灵敏度：96dB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★5、额定峰值最大声压级:131dB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★6、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覆盖角度:90º x 60º（号角可旋转）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7、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箱体材料:桦木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8、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颜色/涂层:黑色/ISO-FLEX涂层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9、接口: 2XNL4专用音箱接口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10、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尺寸(HxWxD):62x38x38cm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11、重量:19KG 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超低音箱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只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★1、功率：2400W峰值功率, 600W额定功率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2、频率响应(-10dB)：33Hz-160Hz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标称阻抗：8欧姆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4、灵敏度：96dB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★5、额定峰值最大声压级:133dB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6、箱体材料:桦木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7、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颜色/涂层:黑色/ISO-FLEX涂层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8、接口: 2XNL4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9、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尺寸(HxWxD):72x54.5x66cm</w:t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color w:val="auto"/>
                <w:sz w:val="16"/>
                <w:szCs w:val="16"/>
              </w:rPr>
              <w:t>★10、为确保音色一致，所有音箱、功放须为同一品牌。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主扩声音箱功率放大器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 4欧立体声（每个通道） 750W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★2、 8欧立体声（每个通道） 500W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★3、8欧桥接 （每个通道） 1500W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 频率响应（一瓦特）20Hz-20KHz，+0-1db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5、总谐波失真（THD&lt;0.5%，20Hz-20kHz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补声音箱功率放大器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 4欧立体声（每个通道） 750W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★2、 8欧立体声（每个通道） 500W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★3、8欧桥接 （每个通道） 1500W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 频率响应（一瓦特）20Hz-20KHz，+0-1db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5、总谐波失真（THD&lt;0.5%，20Hz-20kHz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主席台返听音箱功率放大器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 4欧立体声（每个通道） 750W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★2、 8欧立体声（每个通道） 500W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★3、8欧桥接 （每个通道） 1500W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 频率响应（一瓦特）20Hz-20KHz，+0-1db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5、总谐波失真（THD&lt;0.5%，20Hz-20kHz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超低音箱功率放大器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 4欧立体声（每个通道） 2100W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★2、8欧立体声（每个通道） 1400W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★3、 8欧桥接 （每个通道） 4250W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4、频率响应（一瓦特）20Hz-20KHz，+0-1db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5、 总谐波失真（THD&lt;0.5%，20Hz-20kHz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16路数字调音台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★1、不少于16个单声道输入。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★2、不少于3个立体声输入。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★3、不少于4个立体声FX返回，16条总线，12个混音输出，4个FX引擎。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4、带AES数字输出。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★5、电动推子。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6、可调用的前置放大器。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7、可在USB上多轨录音/回放。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★8、触摸屏不小于800×480分辨率。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13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音频处理器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 1、音频连接不少于128 (64x64)冗余Dante通道，不少于12路模拟话筒/线路输入，不少于8路模拟输出，不劣于8x8 USB音频、不少于4路AEC通道。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★2、显示屏：能够浏览系统参数或模拟输入、模拟输出、USBI/O和扩展卡I/O的电平表。概览一些简略的信息，如IP地址、DHCP状态和以太网、Dante和ARC的通讯LED灯。 快速按下按钮，能切换查看概览和输入/输出电平表。电平表计量范围是-72 dBFS至0 dBFS。每部分代表12 dB。如果信号达到削波，电平表范围会变得更宽。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★3、唤醒/导航按键：这个瞬态按键用于浏览仪表盘和系统页面或解除故障通知。快速按下这个按键，可浏览菜单，或解除故障通知；长按则能在仪表盘和系统页面之间切换。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4、设计师软件应用适用于Windows电脑，带安装的网络接口，可运行Windows 7®或更高版本的操作系统。可通过设备的后面板以太网接头连接电脑进行配置。所有内部处 理都是数字处理（DSP）。现有的DSP组件包括（但不限于）以下多种形式：调音台，均衡器，滤波器，分频器，动态/增益控制，路由器，延迟，远程控制，电平表，发 生器，机载逻辑和诊断。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★5、扩展卡槽能容纳一个2线路VoIP接口卡，2线路模拟电话接口卡，4通道数字输入卡，4通道数字输出卡，4通道话筒/线路输入卡，4通道AEC输入卡，4通道模拟输出 卡，8x8 USB音频I/O 卡，或保持留空。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6、可安装内置DSP协作处理器模块，用作应用场景需要的额外的处理。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★7、配备USB 2.0音频I/O端口带class 1.0 legacy模式，B类连接，可为该USB 2.0音频I/O端口配置多达8x8 线路I/O和 2x2线路I/O，1x1免提听筒电话，或1x1回声消除免提听筒电话配置。 可以进行8轨播放和8轨录音。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★8、可通过Dante协议提供网络音频扩展，数量为128 (64x64)通道。提供主、次Dante网络音频连接，用于冗余网络安装。接头为1000 Base-T RJ45，使用CAT6电缆。 两个以太网端口：1000 Base-T以太网端口，用于Composer主机控制，和第三方设备的IP控制。用于设备与设备之间的直接连接 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★9、可对控制网络、Dante信号、供电、设备温度、控制模式等设备工作状态实时同步监控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6"/>
                <w:szCs w:val="16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6"/>
                <w:szCs w:val="16"/>
                <w:lang w:eastAsia="zh-CN"/>
              </w:rPr>
              <w:t>响应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16"/>
                <w:szCs w:val="16"/>
              </w:rPr>
              <w:t>文件须提供功能界面截图）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；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10、外部控制包括专用的软件显示屏和预设选择，I/O电平控制和静音，使用的是选配的ARC墙面板远程控制，通过行业标准的超五类线和RJ45接头进行控制。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11、内置的网络服务器包括四个ARC-WEB实体，允许用户通过几乎所有的网络浏览器或移动设备进行控制。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★12、逻辑I/O包括八个触点闭合或四路电位计输入和八路逻辑输出。逻辑输出可用来直 接驱动LED灯或控制外部继电器或交换器。所有程序记忆不易丢失，如果出现电源故障，则提供程序保护。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13、包含机载实时时钟，方便自动的、定时的预设更改，并可能同步至NTP。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14、第三方控制系统可能通过IP和RS-232连接，使用发表了的ASCII控制协议。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15、音频转换为24位，48 kHz；内部的处理应为32位或40位浮点，48 kHz。动态范围不低于115 dB，A加权，带+24 dBu的最大输入电平和+24 dBu的最大输出电平。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16、拥有一个IEC电源输入插口，120-240 VAC。该设备符合UL/CSA和CE安全要求，遵从CE和FCC 第15部分的排放限制。符合RoHS（限制有害物质指令）的要 求。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 xml:space="preserve">模拟输入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17、接头：3.81 mm凤凰头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18、标称输入电平：+4 dBu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19、最大输入电平：+23 dBu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20、话筒前置放大器增益：0至51 dB，3 dB步进，带 ± 24 dB数字微调（trim）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21、话筒前置放大器等效输入噪声：&lt; -125 dB，带150Ω信号源阻抗，22.4 kHz BW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22、输入阻抗：2kΩ平衡，1kΩ非平衡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★23、幻象电源（每个输入）：+48 VDC，10 mA最大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24、动态范围：&gt;115 dB，A计权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25、THD+噪声：&lt;-100 dB；22.4 kHz BW非计权；1 kHz@+15 dB，0 dB增益。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26、延迟：0.31ms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模拟输出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27、接头：3.81 mm凤凰头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28、标称输出电平：+4 dBu，20 dB动态余量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29、最大输出电平：+24 dBu（+22.8 dBu@2kΩ最小负载）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30、输出阻抗：300Ω平衡，150Ω非平衡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★31、动态范围：&gt;117 dB，A计权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32、总谐波失真+噪声：&lt;-97 dB；22.4 kHz BW，非计权；1 kHz，0 dB增益+8 dBu输出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33、延迟：0.65 ms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USB 音频 I/O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34、接口：2.0 带音频 class 1.0 legacy模式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35、数量：1x1 （回声消除免提听筒和非回声消除免提听筒模式）- 无驱动程序, 2x2 线路 I/O 模式 - 无驱动程序, 和 8x8 线路 I/O 模式 - 包含驱动程序。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36、采样率：48 kHz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37、位深：16位，免提听筒模式；16或24位，线路模式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机械规格参数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44、处理器：1 x 模拟设备Griffin ADSP-SC587 双核 DSP @ 500 MHz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45、初始处理容量：500 MIPS, 6 GFLOPS, 2 GMACS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46、采样率：48 kHz，± 100 ppm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47、频率响应：20 Hz – 20 kHz，± 0.5 dB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48、动态范围：&gt;114 dB，A计权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49、总谐波失真+噪声：&lt;-97 dB；22.4 kHz BW，非计权；1 kHz，+15 dBu带 0 dB增益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50、通道分离 (A/D/A)：&gt;110 dB @ 1 kHz，+24 dBu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51、延时 (A/D/A)：1.04 ms，输入路由至输出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52、延迟记忆：单声道 174秒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53、模拟控制输入：0-3.3 VDC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54、推荐的外部控制电位计：10kΩ，线性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55、逻辑输出：启用时，低(0V) ；不启用时拉高 (5V)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56、逻辑输出最大外部电源供应：24 VDC / 50 mA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57、逻辑输出最大输出电流：10 mA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58、RS-232配件串口I/O: 57.6 kbaud（默认）， 8 数据位， 1 停止位，无奇偶，无校检, 只要求针2、3和5。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59、RS-485串口I/O：38.4 kbaud (默认) 8数据位，1停止位，无奇偶，无校检，可能独立于ARC端口。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60、以太网电缆：标准CAT5/6，设备与设备间最大长度= 328 英尺 / 100 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61、Dante电缆：标准CAT6，设备与设备间最大长度 = 328 英尺 / 100 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★62、最大储存预设不小于：1000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14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音频输出卡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★1、不少于4通道线路输出；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★2、额定输出电平：+4dBu 有20dB动态余量；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3、最大输出电平：+24dBu(+22.8dBu，2kΩ最小负载)；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4、输出阻抗：300Ω平衡式, 150Ω非平衡式；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★5、动态范围：＞ 117dB, A-计权；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★6、总谐波失真+ 噪声：&lt;-95dB(0.0018%), 未计权； 1kHz @+22dBu 带0dB增益；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7、延时：0.60 mS；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8、重量：0.45kg；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★9、</w:t>
            </w:r>
            <w:r>
              <w:rPr>
                <w:rFonts w:hint="eastAsia" w:ascii="宋体" w:hAnsi="宋体" w:eastAsia="宋体" w:cs="宋体"/>
                <w:color w:val="auto"/>
                <w:sz w:val="16"/>
                <w:szCs w:val="16"/>
              </w:rPr>
              <w:t>通过软件可控制本地增益电平以及静 音。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★10、须与音频处理器为同一品牌。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电源时序器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★1、RS-232串口控制协议，可连接中控及控制电脑；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2、采用 16A 万能插座，能兼容全部产品电源接口；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3、最大输入电流 30A，单路最大输出电流16A，工作电压 95V-240V；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4、无序主、副机控制选择开关，即插即用；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5、联机后可通过系统内任意一台时序器开工控制整个系统的开机、关机；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6、设备采用接线柱接线方式，配置63A大电流空气开关。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7、前面板拥有电压显示功能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8、最大输入电流: 30A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9、单路最大输出电流: 16A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10、控制协议: RS-232串口协议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11、工作电压: 110V ～ 240V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12、输出电源插座: 后面板 8 个受控 16A 万用插座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13、插座标准: 兼容国标 6A、10A、16A、英标 13A、美标 15A、欧标 G/M 插头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14、开关间隔时间:1 秒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16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</w:rPr>
              <w:t>机柜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</w:rPr>
              <w:t>玻璃门、万向轮、散热风机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17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音箱线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300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米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2*2铜芯线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18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话筒线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600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米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缠绕屏蔽麦克风线缆，采用优质高纯度（OFC）无氧铜丝绞合，特别配方聚氯乙烯绝缘，2芯加黄铜丝缠绕屏蔽，黑色弹性聚氯乙烯护套，外径：6.0mm，导体截面积：0.3mm2，导体直流电阻59Ω /km，芯与芯之间的电容：150pF/m，芯与屏蔽之间的电容：250pF/m。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19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话筒地弹盒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3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个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  <w:t>铜质防水面板120mm*120mm，内嵌防水密封圈；四位模块化设计，可选配HDMI接口、音频接口、卡侬接口、网络接口等；配置专用底盒，底盒深度55mm。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20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安装配件及安装调试费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批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</w:rPr>
              <w:t>线管线槽、过机线、接插件、音箱吊挂件、电源排插等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6"/>
                <w:szCs w:val="1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商务</w:t>
            </w:r>
            <w:r>
              <w:rPr>
                <w:rFonts w:ascii="宋体" w:hAnsi="宋体"/>
                <w:color w:val="auto"/>
                <w:sz w:val="16"/>
                <w:szCs w:val="16"/>
              </w:rPr>
              <w:t>条款</w:t>
            </w:r>
          </w:p>
        </w:tc>
        <w:tc>
          <w:tcPr>
            <w:tcW w:w="89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276" w:lineRule="auto"/>
              <w:rPr>
                <w:rFonts w:hint="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一、合同签订期：自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采购结果公告结束</w:t>
            </w:r>
            <w:r>
              <w:rPr>
                <w:rFonts w:hint="eastAsia"/>
                <w:color w:val="auto"/>
                <w:sz w:val="16"/>
                <w:szCs w:val="16"/>
              </w:rPr>
              <w:t>之日起 7 个工作日内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。</w:t>
            </w:r>
          </w:p>
          <w:p>
            <w:pPr>
              <w:widowControl/>
              <w:shd w:val="clear" w:color="auto" w:fill="FFFFFF"/>
              <w:spacing w:line="276" w:lineRule="auto"/>
              <w:rPr>
                <w:rFonts w:hint="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二、交货期：自合同签订之日起</w:t>
            </w:r>
            <w:r>
              <w:rPr>
                <w:color w:val="auto"/>
                <w:sz w:val="16"/>
                <w:szCs w:val="16"/>
              </w:rPr>
              <w:t>15</w:t>
            </w:r>
            <w:r>
              <w:rPr>
                <w:rFonts w:hint="eastAsia"/>
                <w:color w:val="auto"/>
                <w:sz w:val="16"/>
                <w:szCs w:val="16"/>
              </w:rPr>
              <w:t>日内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。</w:t>
            </w:r>
          </w:p>
          <w:p>
            <w:pPr>
              <w:widowControl/>
              <w:shd w:val="clear" w:color="auto" w:fill="FFFFFF"/>
              <w:spacing w:line="276" w:lineRule="auto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 xml:space="preserve">三、交货地点：  采购人指定地点   </w:t>
            </w:r>
          </w:p>
          <w:p>
            <w:pPr>
              <w:widowControl/>
              <w:shd w:val="clear" w:color="auto" w:fill="FFFFFF"/>
              <w:rPr>
                <w:rFonts w:hint="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四、交货方式：现场交货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。</w:t>
            </w:r>
          </w:p>
          <w:p>
            <w:pPr>
              <w:autoSpaceDE w:val="0"/>
              <w:autoSpaceDN w:val="0"/>
              <w:adjustRightInd w:val="0"/>
              <w:spacing w:line="340" w:lineRule="exact"/>
              <w:ind w:right="86" w:rightChars="41"/>
              <w:jc w:val="left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五</w:t>
            </w:r>
            <w:r>
              <w:rPr>
                <w:color w:val="auto"/>
                <w:sz w:val="16"/>
                <w:szCs w:val="16"/>
              </w:rPr>
              <w:t>、</w:t>
            </w:r>
            <w:r>
              <w:rPr>
                <w:rFonts w:hint="eastAsia"/>
                <w:color w:val="auto"/>
                <w:sz w:val="16"/>
                <w:szCs w:val="16"/>
              </w:rPr>
              <w:t>★售后服务及要求：</w:t>
            </w:r>
          </w:p>
          <w:p>
            <w:pPr>
              <w:spacing w:line="340" w:lineRule="exact"/>
              <w:ind w:left="370" w:leftChars="100" w:right="-17" w:rightChars="-8" w:hanging="160" w:hangingChars="100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1、按国家有关产品“三包”规定执行“三包”，质保期不得少于</w:t>
            </w:r>
            <w:r>
              <w:rPr>
                <w:color w:val="auto"/>
                <w:sz w:val="16"/>
                <w:szCs w:val="16"/>
              </w:rPr>
              <w:t>1</w:t>
            </w:r>
            <w:r>
              <w:rPr>
                <w:rFonts w:hint="eastAsia"/>
                <w:color w:val="auto"/>
                <w:sz w:val="16"/>
                <w:szCs w:val="16"/>
              </w:rPr>
              <w:t>年，自设备验收合格之日起计算，终身维护，保修期满前1个月内成交人应负责一次免费全面检查。质保期内免费维修、免费更换零部件。</w:t>
            </w:r>
          </w:p>
          <w:p>
            <w:pPr>
              <w:spacing w:line="340" w:lineRule="exact"/>
              <w:ind w:left="450" w:leftChars="100" w:hanging="240" w:hangingChars="150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2、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负责</w:t>
            </w:r>
            <w:r>
              <w:rPr>
                <w:rFonts w:hint="eastAsia"/>
                <w:color w:val="auto"/>
                <w:sz w:val="16"/>
                <w:szCs w:val="16"/>
              </w:rPr>
              <w:t>送货上门，负责安装调试合格。</w:t>
            </w:r>
          </w:p>
          <w:p>
            <w:pPr>
              <w:spacing w:line="340" w:lineRule="exact"/>
              <w:ind w:left="450" w:leftChars="100" w:hanging="240" w:hangingChars="150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3、现场培训1～2名相关人员设备操作、维修及日常维护，所需工具、器材由供应商自理。</w:t>
            </w:r>
          </w:p>
          <w:p>
            <w:pPr>
              <w:spacing w:line="340" w:lineRule="exact"/>
              <w:ind w:left="370" w:leftChars="100" w:hanging="160" w:hangingChars="1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4</w:t>
            </w:r>
            <w:r>
              <w:rPr>
                <w:rFonts w:hint="eastAsia"/>
                <w:color w:val="auto"/>
                <w:sz w:val="16"/>
                <w:szCs w:val="16"/>
              </w:rPr>
              <w:t>、出现故障2小时内做出响应，</w:t>
            </w:r>
            <w:r>
              <w:rPr>
                <w:color w:val="auto"/>
                <w:sz w:val="16"/>
                <w:szCs w:val="16"/>
              </w:rPr>
              <w:t>8</w:t>
            </w:r>
            <w:r>
              <w:rPr>
                <w:rFonts w:hint="eastAsia"/>
                <w:color w:val="auto"/>
                <w:sz w:val="16"/>
                <w:szCs w:val="16"/>
              </w:rPr>
              <w:t>小时到达维修现场。一般问题应在</w:t>
            </w:r>
            <w:r>
              <w:rPr>
                <w:color w:val="auto"/>
                <w:sz w:val="16"/>
                <w:szCs w:val="16"/>
              </w:rPr>
              <w:t>24</w:t>
            </w:r>
            <w:r>
              <w:rPr>
                <w:rFonts w:hint="eastAsia"/>
                <w:color w:val="auto"/>
                <w:sz w:val="16"/>
                <w:szCs w:val="16"/>
              </w:rPr>
              <w:t>小时内解决，重大问题或其它无法迅速解决的问题应在3日内解决，不能解决的在3日内提供备机服务。</w:t>
            </w:r>
          </w:p>
          <w:p>
            <w:pPr>
              <w:spacing w:line="340" w:lineRule="exact"/>
              <w:ind w:left="370" w:leftChars="100" w:hanging="160" w:hangingChars="1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5</w:t>
            </w:r>
            <w:r>
              <w:rPr>
                <w:rFonts w:hint="eastAsia"/>
                <w:color w:val="auto"/>
                <w:sz w:val="16"/>
                <w:szCs w:val="16"/>
              </w:rPr>
              <w:t>、定期回访以及对设备维护。</w:t>
            </w:r>
          </w:p>
          <w:p>
            <w:pPr>
              <w:spacing w:line="340" w:lineRule="exact"/>
              <w:ind w:left="370" w:leftChars="100" w:hanging="160" w:hangingChars="100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6、验收方法：产品需为原厂全新正品，完全符合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采购</w:t>
            </w:r>
            <w:r>
              <w:rPr>
                <w:rFonts w:hint="eastAsia"/>
                <w:color w:val="auto"/>
                <w:sz w:val="16"/>
                <w:szCs w:val="16"/>
              </w:rPr>
              <w:t>技术参数要求，</w:t>
            </w:r>
            <w:r>
              <w:rPr>
                <w:color w:val="auto"/>
                <w:sz w:val="16"/>
                <w:szCs w:val="16"/>
              </w:rPr>
              <w:t>供货时</w:t>
            </w:r>
            <w:r>
              <w:rPr>
                <w:rFonts w:hint="eastAsia"/>
                <w:color w:val="auto"/>
                <w:sz w:val="16"/>
                <w:szCs w:val="16"/>
              </w:rPr>
              <w:t>需</w:t>
            </w:r>
            <w:r>
              <w:rPr>
                <w:color w:val="auto"/>
                <w:sz w:val="16"/>
                <w:szCs w:val="16"/>
              </w:rPr>
              <w:t>进行产品功能测试</w:t>
            </w:r>
            <w:r>
              <w:rPr>
                <w:rFonts w:hint="eastAsia"/>
                <w:color w:val="auto"/>
                <w:sz w:val="16"/>
                <w:szCs w:val="16"/>
              </w:rPr>
              <w:t>。</w:t>
            </w:r>
            <w:r>
              <w:rPr>
                <w:color w:val="auto"/>
                <w:sz w:val="16"/>
                <w:szCs w:val="16"/>
              </w:rPr>
              <w:t>供应商应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配合</w:t>
            </w:r>
            <w:r>
              <w:rPr>
                <w:rFonts w:hint="eastAsia"/>
                <w:color w:val="auto"/>
                <w:sz w:val="16"/>
                <w:szCs w:val="16"/>
              </w:rPr>
              <w:t>采购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人对会议厅音响系统与会议厅其它设备（如</w:t>
            </w:r>
            <w:r>
              <w:rPr>
                <w:rFonts w:hint="eastAsia"/>
                <w:color w:val="auto"/>
                <w:sz w:val="16"/>
                <w:szCs w:val="16"/>
                <w:lang w:val="en-US" w:eastAsia="zh-CN"/>
              </w:rPr>
              <w:t>LED屏等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）的连接及</w:t>
            </w:r>
            <w:r>
              <w:rPr>
                <w:color w:val="auto"/>
                <w:sz w:val="16"/>
                <w:szCs w:val="16"/>
              </w:rPr>
              <w:t>调试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工作</w:t>
            </w:r>
            <w:r>
              <w:rPr>
                <w:rFonts w:hint="eastAsia"/>
                <w:color w:val="auto"/>
                <w:sz w:val="16"/>
                <w:szCs w:val="16"/>
              </w:rPr>
              <w:t>，达不到要求的不予验收，视为产品验收不合格，采购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人</w:t>
            </w:r>
            <w:r>
              <w:rPr>
                <w:rFonts w:hint="eastAsia"/>
                <w:color w:val="auto"/>
                <w:sz w:val="16"/>
                <w:szCs w:val="16"/>
              </w:rPr>
              <w:t>可解除双方的合同并追究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响应</w:t>
            </w:r>
            <w:r>
              <w:rPr>
                <w:rFonts w:hint="eastAsia"/>
                <w:color w:val="auto"/>
                <w:sz w:val="16"/>
                <w:szCs w:val="16"/>
              </w:rPr>
              <w:t>人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有关</w:t>
            </w:r>
            <w:r>
              <w:rPr>
                <w:rFonts w:hint="eastAsia"/>
                <w:color w:val="auto"/>
                <w:sz w:val="16"/>
                <w:szCs w:val="16"/>
              </w:rPr>
              <w:t>责任。</w:t>
            </w:r>
          </w:p>
          <w:p>
            <w:pPr>
              <w:spacing w:line="340" w:lineRule="exact"/>
              <w:ind w:left="2" w:right="-17" w:rightChars="-8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六、★其他要求：</w:t>
            </w:r>
          </w:p>
          <w:p>
            <w:pPr>
              <w:spacing w:line="420" w:lineRule="exact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1、报价为采购人指定地点的现场交货价，包括：</w:t>
            </w:r>
          </w:p>
          <w:p>
            <w:pPr>
              <w:spacing w:line="420" w:lineRule="exact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（1）货物的价格；</w:t>
            </w:r>
          </w:p>
          <w:p>
            <w:pPr>
              <w:spacing w:line="420" w:lineRule="exact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（2）货物的标准附件、备品备件、专用工具的价格；</w:t>
            </w:r>
          </w:p>
          <w:p>
            <w:pPr>
              <w:spacing w:line="420" w:lineRule="exact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（3）运输、装卸、调试、培训、技术支持、售后服务等费用；</w:t>
            </w:r>
          </w:p>
          <w:p>
            <w:pPr>
              <w:spacing w:line="420" w:lineRule="exact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（4）必要的保险费用和各项税费；</w:t>
            </w:r>
          </w:p>
          <w:p>
            <w:pPr>
              <w:spacing w:line="420" w:lineRule="exact"/>
              <w:rPr>
                <w:rFonts w:hint="eastAsia" w:eastAsia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（5）安装费用</w:t>
            </w:r>
            <w:r>
              <w:rPr>
                <w:rFonts w:hint="eastAsia"/>
                <w:color w:val="auto"/>
                <w:sz w:val="16"/>
                <w:szCs w:val="16"/>
                <w:lang w:eastAsia="zh-CN"/>
              </w:rPr>
              <w:t>；</w:t>
            </w:r>
          </w:p>
          <w:p>
            <w:pPr>
              <w:spacing w:line="420" w:lineRule="exact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16"/>
                <w:szCs w:val="16"/>
              </w:rPr>
              <w:t>（6）项目设计、施工及施工过程所需的安装材料（辅材、配件等）等费用。</w:t>
            </w:r>
          </w:p>
          <w:p>
            <w:pPr>
              <w:pStyle w:val="5"/>
              <w:rPr>
                <w:rFonts w:hint="eastAsia" w:eastAsiaTheme="minorEastAsia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eastAsia="zh-CN"/>
              </w:rPr>
              <w:t>七、付款方式：验收合格并收到供应商开具的有效真实发票后支付货款。</w:t>
            </w:r>
          </w:p>
        </w:tc>
      </w:tr>
    </w:tbl>
    <w:p>
      <w:pPr>
        <w:pStyle w:val="3"/>
        <w:outlineLvl w:val="0"/>
        <w:rPr>
          <w:rFonts w:hint="eastAsia" w:ascii="宋体" w:hAnsi="Courier New"/>
          <w:b/>
          <w:color w:val="auto"/>
          <w:sz w:val="16"/>
          <w:szCs w:val="16"/>
        </w:rPr>
      </w:pPr>
    </w:p>
    <w:p>
      <w:pPr>
        <w:pStyle w:val="3"/>
        <w:outlineLvl w:val="0"/>
        <w:rPr>
          <w:rFonts w:hint="eastAsia" w:ascii="宋体" w:hAnsi="Courier New"/>
          <w:b/>
          <w:color w:val="auto"/>
          <w:sz w:val="16"/>
          <w:szCs w:val="16"/>
        </w:rPr>
      </w:pPr>
    </w:p>
    <w:p>
      <w:pPr>
        <w:pStyle w:val="3"/>
        <w:outlineLvl w:val="0"/>
        <w:rPr>
          <w:rFonts w:hint="eastAsia" w:ascii="宋体" w:hAnsi="Courier New"/>
          <w:b/>
          <w:color w:val="auto"/>
          <w:sz w:val="32"/>
          <w:szCs w:val="2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07363"/>
    <w:rsid w:val="68B0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font171"/>
    <w:basedOn w:val="7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9">
    <w:name w:val="font191"/>
    <w:basedOn w:val="7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2021-05-10T08:34:00Z</dcterms:created>
  <dc:creator>WPS</dc:creator>
  <cp:lastModifiedBy>WPS</cp:lastModifiedBy>
  <dcterms:modified xsi:type="dcterms:W3CDTF">2021-05-10T08:41:55Z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95E8816E505B4C64BCA2272C1FD1152E</vt:lpwstr>
  </property>
</Properties>
</file>