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ascii="宋体" w:hAnsi="Courier New"/>
          <w:b/>
          <w:sz w:val="32"/>
          <w:szCs w:val="20"/>
        </w:rPr>
      </w:pPr>
      <w:r>
        <w:rPr>
          <w:rFonts w:hint="eastAsia" w:ascii="宋体" w:hAnsi="Courier New"/>
          <w:b/>
          <w:sz w:val="32"/>
          <w:szCs w:val="20"/>
        </w:rPr>
        <w:t>附件2</w:t>
      </w:r>
    </w:p>
    <w:p>
      <w:pPr>
        <w:pStyle w:val="4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</w:p>
    <w:bookmarkEnd w:id="2"/>
    <w:p>
      <w:pPr>
        <w:pStyle w:val="4"/>
        <w:ind w:firstLine="210" w:firstLineChars="100"/>
        <w:rPr>
          <w:rFonts w:hAnsi="宋体"/>
        </w:rPr>
      </w:pPr>
    </w:p>
    <w:p>
      <w:pPr>
        <w:pStyle w:val="4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Cs w:val="21"/>
        </w:rPr>
      </w:pPr>
      <w:r>
        <w:rPr>
          <w:rFonts w:hint="eastAsia" w:hAnsi="宋体"/>
          <w:szCs w:val="21"/>
          <w:u w:val="single"/>
        </w:rPr>
        <w:t>　　</w:t>
      </w:r>
      <w:r>
        <w:rPr>
          <w:rFonts w:hint="eastAsia" w:hAnsi="宋体"/>
          <w:szCs w:val="21"/>
        </w:rPr>
        <w:t>分项（有分项时填写）</w:t>
      </w:r>
    </w:p>
    <w:tbl>
      <w:tblPr>
        <w:tblStyle w:val="6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257"/>
        <w:gridCol w:w="2125"/>
        <w:gridCol w:w="1340"/>
        <w:gridCol w:w="2765"/>
        <w:gridCol w:w="14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735" w:type="dxa"/>
            <w:vMerge w:val="restart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3382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4105" w:type="dxa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735" w:type="dxa"/>
            <w:vMerge w:val="continue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1257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125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/>
                <w:szCs w:val="21"/>
                <w:lang w:eastAsia="zh-CN"/>
              </w:rPr>
              <w:t>技术参数</w:t>
            </w:r>
          </w:p>
        </w:tc>
        <w:tc>
          <w:tcPr>
            <w:tcW w:w="1340" w:type="dxa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货物</w:t>
            </w:r>
            <w:r>
              <w:rPr>
                <w:rFonts w:hint="eastAsia" w:ascii="宋体" w:hAnsi="宋体"/>
                <w:szCs w:val="21"/>
              </w:rPr>
              <w:t>名称</w:t>
            </w:r>
          </w:p>
        </w:tc>
        <w:tc>
          <w:tcPr>
            <w:tcW w:w="2765" w:type="dxa"/>
            <w:vAlign w:val="center"/>
          </w:tcPr>
          <w:p>
            <w:pPr>
              <w:jc w:val="center"/>
              <w:rPr>
                <w:rFonts w:hint="eastAsia" w:ascii="宋体" w:eastAsiaTheme="minorEastAsia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响应技术参数</w:t>
            </w:r>
          </w:p>
        </w:tc>
        <w:tc>
          <w:tcPr>
            <w:tcW w:w="1417" w:type="dxa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Ansi="宋体"/>
                <w:spacing w:val="-20"/>
                <w:sz w:val="16"/>
                <w:szCs w:val="16"/>
              </w:rPr>
            </w:pPr>
            <w:r>
              <w:rPr>
                <w:rFonts w:hAnsi="宋体"/>
                <w:spacing w:val="-20"/>
                <w:sz w:val="16"/>
                <w:szCs w:val="16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鹅颈会议话筒（配置同品牌底座）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★1、超指向收音头，收音角度不大于90°。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★2、射频干扰(RFI)屏敝技术，防止射频干扰，避免收音时受到手提电话等的干扰。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★3、内置前置放大器供电模组和小型隐藏高通滤波开关，可设定 80 Hz 高通滤波或平直响应。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4、型式：固定充电背板，静电型电容式。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5、频率响应不小于：35-18KHz。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6、开通灵敏度不大于：- 35 dB (17.7 mV) re 1V at 1 Pa。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7、最大输入声压级不小于：135 dB SPL (1KHz,THD 1%) 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★8、动态范围（典型值）：113 dB (1KHz at Max dB SPL)。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9、信噪比不小于：74 dB (1KHz at 1 Pa)。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★10、附有双层式防风海棉罩，可减低在讲话时的喷气声及其他风声情况出现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鹅颈会议话筒（配置同品牌底座）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Ansi="宋体"/>
                <w:sz w:val="16"/>
                <w:szCs w:val="16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eastAsia" w:hAnsi="宋体" w:eastAsiaTheme="minorEastAsia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2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演讲台话筒（配置同品牌底座）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★1、电容式超心形指向性话筒，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2、鹅颈的设计，可将收音头灵活调校到任何位置，并附有防风海棉罩，可减低在讲话时收到不雅的喷气声及其它风声的情况出现。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3、配备有航空金属材料和 UniGuard® - 射频干扰(RFI)屏敝技术，特别适合亚洲语种的音头设计和提供杰出的防止射频干扰能力，避免收音时受到如手提电话等的干扰。话筒亦符合RoHS规格，在构造上不含有欧盟禁用的危害性物质。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3、内置的供电模块使用直流11V 至52V 幻象供电工作。而外壳上的一个隐藏的小型开关 UniSteep® ，可设定 80 Hz 高通滤波及平直回应。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4、元件：固定式充电背板，静电型电容式；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6、指向特性： 超心型单指向性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7、频率响应：35～20000Hz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8、高通滤波：90 Hz, 18 dB/octave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9、开路灵敏度：-37dB((14.1 mV) 以 1V 于 1 Pa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10、阻抗：250欧姆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★11、最大输入声压级：141 dB 声压, 1 kHz 于 1% T.H.D.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12、动态范围：112 dB, 1 kHz 于最高声压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13、信噪比：68 dB, 1 kHz 于 1Pa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14、开关：平直，高通滤波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15、幻象电源：直流 11-52V DC, 耗电 4 mA 典型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16、长度：457.2 mm - 长, 8.4 mm - 收音头直径, 18.9 mm - 底部直径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17、标配：双层式防风海棉罩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演讲台话筒（配置同品牌底座）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/>
                <w:color w:val="FF0000"/>
                <w:sz w:val="16"/>
                <w:szCs w:val="16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3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一拖二无线手持话筒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1、 机架安装系统，采用双接收器底座和远程安装接收装置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2、 可选用手持式、腰包式、界面式、底座鹅颈式等多种配置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3、 同时满足娱乐KTV使用需求和无线鹅颈话筒会议需求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 最多可使用随附的RJ12 电缆连接五个底座（10 台接收装置)，提高多通道系统的稳定性。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5、 工作频率:2.4 GHz ISM 频带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6、 动态范围 (典型值):&gt;109 dB (A-加权)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7、 工作范围 60米 无干扰信号的开阔环境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8、 工作温度范围 0°C至＋40°C温度极低时电池性能会下降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9、 频率响应 20Hz作频20kHz取决于话筒类型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10、 音频取样 24比特/48kHz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11、 延迟 3.8ms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12、 ATW-RC13 接收机底座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13、 最大输出音电平 XLR,平衡: 0 dBV1/4" (6.3mm),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14、 非平衡: +6 dBV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15、 电源 100-240V AC (50/60 Hz) 至 12V DC 0.5A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16、 电源开关模式，外置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17、 尺寸 209.8 mm宽 x 44 mm高 x 169.3 mm深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18、 净重 940克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19、 远程接收器连接端子 RJ45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20、 链路连接 RJ12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21、 附件 交流适配器、连接线、机架安装适配器、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22、 连接板、橡胶垫脚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23、 手持式发射器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24、 射频输出功率 10mW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25、 杂散发射 按照当地地区法规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26、 电池（未提供） 两节 1.5V AA型5号电池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27、 电池寿命 &gt;7小时（碱性电池） 取决于电池类型和使用模式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28、 尺寸 70.2 mm宽 x 107.0 mm高 x 24.9 mm深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29、 净重（不含电池） 100克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30、 附件 AT8456a Quiet-Flex™ 固定话筒夹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★31、为确保音色一致，所有话筒须为同一品牌。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一拖二无线手持话筒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4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主扩声音箱</w:t>
            </w:r>
          </w:p>
        </w:tc>
        <w:tc>
          <w:tcPr>
            <w:tcW w:w="2125" w:type="dxa"/>
            <w:vAlign w:val="top"/>
          </w:tcPr>
          <w:p>
            <w:pPr>
              <w:widowControl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功率：1200W峰值功率, 300W额定功率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2、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频率响应(-10dB)：50Hz-20kHz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3、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标称阻抗：8欧姆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4、灵敏度：96dB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★5、额定峰值最大声压级:131dB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★6、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覆盖角度:90º x 60º（号角可旋转）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7、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箱体材料:桦木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8、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颜色/涂层:黑色/ISO-FLEX涂层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9、接口: 2XNL4专用音箱接口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10、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尺寸(HxWxD):62x38x38cm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 xml:space="preserve">11、重量:19KG 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主扩声音箱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5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后场补声音箱</w:t>
            </w:r>
          </w:p>
        </w:tc>
        <w:tc>
          <w:tcPr>
            <w:tcW w:w="2125" w:type="dxa"/>
            <w:vAlign w:val="top"/>
          </w:tcPr>
          <w:p>
            <w:pPr>
              <w:widowControl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功率：1200W峰值功率, 300W额定功率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2、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频率响应(-10dB)：50Hz-20kHz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3、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标称阻抗：8欧姆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4、灵敏度：96dB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★5、额定峰值最大声压级:131dB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★6、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覆盖角度:90º x 60º（号角可旋转）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7、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箱体材料:桦木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8、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颜色/涂层:黑色/ISO-FLEX涂层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9、接口: 2XNL4专用音箱接口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10、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尺寸(HxWxD):62x38x38cm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 xml:space="preserve">11、重量:19KG 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后场补声音箱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6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主席台返送音箱</w:t>
            </w:r>
          </w:p>
        </w:tc>
        <w:tc>
          <w:tcPr>
            <w:tcW w:w="2125" w:type="dxa"/>
            <w:vAlign w:val="top"/>
          </w:tcPr>
          <w:p>
            <w:pPr>
              <w:widowControl/>
              <w:spacing w:line="240" w:lineRule="exact"/>
              <w:jc w:val="left"/>
              <w:textAlignment w:val="top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功率：1200W峰值功率, 300W额定功率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2、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频率响应(-10dB)：50Hz-20kHz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3、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标称阻抗：8欧姆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4、灵敏度：96dB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★5、额定峰值最大声压级:131dB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★6、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覆盖角度:90º x 60º（号角可旋转）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7、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箱体材料:桦木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8、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颜色/涂层:黑色/ISO-FLEX涂层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9、接口: 2XNL4专用音箱接口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10、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尺寸(HxWxD):62x38x38cm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 xml:space="preserve">11、重量:19KG 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主席台返送音箱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7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超低音箱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★1、功率：2400W峰值功率, 600W额定功率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2、频率响应(-10dB)：33Hz-160Hz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标称阻抗：8欧姆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4、灵敏度：96dB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★5、额定峰值最大声压级:133dB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6、箱体材料:桦木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7、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颜色/涂层:黑色/ISO-FLEX涂层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8、接口: 2XNL4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9、</w:t>
            </w:r>
            <w:r>
              <w:rPr>
                <w:rStyle w:val="8"/>
                <w:rFonts w:hint="eastAsia" w:ascii="宋体" w:hAnsi="宋体" w:eastAsia="宋体" w:cs="宋体"/>
                <w:sz w:val="16"/>
                <w:szCs w:val="16"/>
              </w:rPr>
              <w:t xml:space="preserve"> 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尺寸(HxWxD):72x54.5x66cm</w:t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br w:type="textWrapping"/>
            </w:r>
            <w:r>
              <w:rPr>
                <w:rStyle w:val="9"/>
                <w:rFonts w:hint="eastAsia" w:ascii="宋体" w:hAnsi="宋体" w:eastAsia="宋体" w:cs="宋体"/>
                <w:sz w:val="16"/>
                <w:szCs w:val="16"/>
              </w:rPr>
              <w:t>★10、为确保音色一致，所有音箱、功放须为同一品牌。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超低音箱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8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主扩声音箱功率放大器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 4欧立体声（每个通道） 750W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★2、 8欧立体声（每个通道） 500W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★3、8欧桥接 （每个通道） 1500W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 频率响应（一瓦特）20Hz-20KHz，+0-1db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5、总谐波失真（THD&lt;0.5%，20Hz-20kHz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主扩声音箱功率放大器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9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补声音箱功率放大器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 4欧立体声（每个通道） 750W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★2、 8欧立体声（每个通道） 500W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★3、8欧桥接 （每个通道） 1500W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 频率响应（一瓦特）20Hz-20KHz，+0-1db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5、总谐波失真（THD&lt;0.5%，20Hz-20kHz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补声音箱功率放大器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10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主席台返听音箱功率放大器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 4欧立体声（每个通道） 750W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★2、 8欧立体声（每个通道） 500W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★3、8欧桥接 （每个通道） 1500W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 频率响应（一瓦特）20Hz-20KHz，+0-1db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5、总谐波失真（THD&lt;0.5%，20Hz-20kHz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主席台返听音箱功率放大器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11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超低音箱功率放大器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 4欧立体声（每个通道） 2100W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★2、8欧立体声（每个通道） 1400W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★3、 8欧桥接 （每个通道） 4250W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4、频率响应（一瓦特）20Hz-20KHz，+0-1db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5、 总谐波失真（THD&lt;0.5%，20Hz-20kHz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超低音箱功率放大器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12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16路数字调音台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★1、不少于16个单声道输入。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★2、不少于3个立体声输入。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★3、不少于4个立体声FX返回，16条总线，12个混音输出，4个FX引擎。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4、带AES数字输出。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★5、电动推子。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6、可调用的前置放大器。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7、可在USB上多轨录音/回放。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★8、触摸屏不小于800×480分辨率。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16路数字调音台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13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音频处理器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 1、音频连接不少于128 (64x64)冗余Dante通道，不少于12路模拟话筒/线路输入，不少于8路模拟输出，不劣于8x8 USB音频、不少于4路AEC通道。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★2、显示屏：能够浏览系统参数或模拟输入、模拟输出、USBI/O和扩展卡I/O的电平表。概览一些简略的信息，如IP地址、DHCP状态和以太网、Dante和ARC的通讯LED灯。 快速按下按钮，能切换查看概览和输入/输出电平表。电平表计量范围是-72 dBFS至0 dBFS。每部分代表12 dB。如果信号达到削波，电平表范围会变得更宽。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★3、唤醒/导航按键：这个瞬态按键用于浏览仪表盘和系统页面或解除故障通知。快速按下这个按键，可浏览菜单，或解除故障通知；长按则能在仪表盘和系统页面之间切换。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4、设计师软件应用适用于Windows电脑，带安装的网络接口，可运行Windows 7®或更高版本的操作系统。可通过设备的后面板以太网接头连接电脑进行配置。所有内部处 理都是数字处理（DSP）。现有的DSP组件包括（但不限于）以下多种形式：调音台，均衡器，滤波器，分频器，动态/增益控制，路由器，延迟，远程控制，电平表，发 生器，机载逻辑和诊断。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★5、扩展卡槽能容纳一个2线路VoIP接口卡，2线路模拟电话接口卡，4通道数字输入卡，4通道数字输出卡，4通道话筒/线路输入卡，4通道AEC输入卡，4通道模拟输出 卡，8x8 USB音频I/O 卡，或保持留空。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6、可安装内置DSP协作处理器模块，用作应用场景需要的额外的处理。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★7、配备USB 2.0音频I/O端口带class 1.0 legacy模式，B类连接，可为该USB 2.0音频I/O端口配置多达8x8 线路I/O和 2x2线路I/O，1x1免提听筒电话，或1x1回声消除免提听筒电话配置。 可以进行8轨播放和8轨录音。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★8、可通过Dante协议提供网络音频扩展，数量为128 (64x64)通道。提供主、次Dante网络音频连接，用于冗余网络安装。接头为1000 Base-T RJ45，使用CAT6电缆。 两个以太网端口：1000 Base-T以太网端口，用于Composer主机控制，和第三方设备的IP控制。用于设备与设备之间的直接连接 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★9、可对控制网络、Dante信号、供电、设备温度、控制模式等设备工作状态实时同步监控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16"/>
                <w:szCs w:val="16"/>
              </w:rPr>
              <w:t>（投标文件须提供功能界面截图）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；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10、外部控制包括专用的软件显示屏和预设选择，I/O电平控制和静音，使用的是选配的ARC墙面板远程控制，通过行业标准的超五类线和RJ45接头进行控制。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11、内置的网络服务器包括四个ARC-WEB实体，允许用户通过几乎所有的网络浏览器或移动设备进行控制。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★12、逻辑I/O包括八个触点闭合或四路电位计输入和八路逻辑输出。逻辑输出可用来直 接驱动LED灯或控制外部继电器或交换器。所有程序记忆不易丢失，如果出现电源故障，则提供程序保护。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13、包含机载实时时钟，方便自动的、定时的预设更改，并可能同步至NTP。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14、第三方控制系统可能通过IP和RS-232连接，使用发表了的ASCII控制协议。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15、音频转换为24位，48 kHz；内部的处理应为32位或40位浮点，48 kHz。动态范围不低于115 dB，A加权，带+24 dBu的最大输入电平和+24 dBu的最大输出电平。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16、拥有一个IEC电源输入插口，120-240 VAC。该设备符合UL/CSA和CE安全要求，遵从CE和FCC 第15部分的排放限制。符合RoHS（限制有害物质指令）的要 求。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 xml:space="preserve">模拟输入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17、接头：3.81 mm凤凰头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18、标称输入电平：+4 dBu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19、最大输入电平：+23 dBu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20、话筒前置放大器增益：0至51 dB，3 dB步进，带 ± 24 dB数字微调（trim）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21、话筒前置放大器等效输入噪声：&lt; -125 dB，带150Ω信号源阻抗，22.4 kHz BW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22、输入阻抗：2kΩ平衡，1kΩ非平衡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★23、幻象电源（每个输入）：+48 VDC，10 mA最大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24、动态范围：&gt;115 dB，A计权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25、THD+噪声：&lt;-100 dB；22.4 kHz BW非计权；1 kHz@+15 dB，0 dB增益。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26、延迟：0.31ms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模拟输出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27、接头：3.81 mm凤凰头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28、标称输出电平：+4 dBu，20 dB动态余量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29、最大输出电平：+24 dBu（+22.8 dBu@2kΩ最小负载）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30、输出阻抗：300Ω平衡，150Ω非平衡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★31、动态范围：&gt;117 dB，A计权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32、总谐波失真+噪声：&lt;-97 dB；22.4 kHz BW，非计权；1 kHz，0 dB增益+8 dBu输出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33、延迟：0.65 ms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USB 音频 I/O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34、接口：2.0 带音频 class 1.0 legacy模式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35、数量：1x1 （回声消除免提听筒和非回声消除免提听筒模式）- 无驱动程序, 2x2 线路 I/O 模式 - 无驱动程序, 和 8x8 线路 I/O 模式 - 包含驱动程序。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36、采样率：48 kHz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37、位深：16位，免提听筒模式；16或24位，线路模式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机械规格参数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44、处理器：1 x 模拟设备Griffin ADSP-SC587 双核 DSP @ 500 MHz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45、初始处理容量：500 MIPS, 6 GFLOPS, 2 GMACS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46、采样率：48 kHz，± 100 ppm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47、频率响应：20 Hz – 20 kHz，± 0.5 dB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48、动态范围：&gt;114 dB，A计权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49、总谐波失真+噪声：&lt;-97 dB；22.4 kHz BW，非计权；1 kHz，+15 dBu带 0 dB增益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50、通道分离 (A/D/A)：&gt;110 dB @ 1 kHz，+24 dBu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51、延时 (A/D/A)：1.04 ms，输入路由至输出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52、延迟记忆：单声道 174秒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53、模拟控制输入：0-3.3 VDC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54、推荐的外部控制电位计：10kΩ，线性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55、逻辑输出：启用时，低(0V) ；不启用时拉高 (5V)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56、逻辑输出最大外部电源供应：24 VDC / 50 mA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57、逻辑输出最大输出电流：10 mA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58、RS-232配件串口I/O: 57.6 kbaud（默认）， 8 数据位， 1 停止位，无奇偶，无校检, 只要求针2、3和5。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59、RS-485串口I/O：38.4 kbaud (默认) 8数据位，1停止位，无奇偶，无校检，可能独立于ARC端口。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60、以太网电缆：标准CAT5/6，设备与设备间最大长度= 328 英尺 / 100 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61、Dante电缆：标准CAT6，设备与设备间最大长度 = 328 英尺 / 100 米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★62、最大储存预设不小于：1000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音频处理器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14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音频输出卡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★1、不少于4通道线路输出；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★2、额定输出电平：+4dBu 有20dB动态余量；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3、最大输出电平：+24dBu(+22.8dBu，2kΩ最小负载)；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4、输出阻抗：300Ω平衡式, 150Ω非平衡式；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★5、动态范围：＞ 117dB, A-计权；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★6、总谐波失真+ 噪声：&lt;-95dB(0.0018%), 未计权； 1kHz @+22dBu 带0dB增益；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7、延时：0.60 mS；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8、重量：0.45kg；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★9、</w:t>
            </w:r>
            <w:r>
              <w:rPr>
                <w:rFonts w:hint="eastAsia" w:ascii="宋体" w:hAnsi="宋体" w:eastAsia="宋体" w:cs="宋体"/>
                <w:sz w:val="16"/>
                <w:szCs w:val="16"/>
              </w:rPr>
              <w:t>通过软件可控制本地增益电平以及静 音。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★10、须与音频处理器为同一品牌。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音频输出卡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15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电源时序器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★1、RS-232串口控制协议，可连接中控及控制电脑；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2、采用 16A 万能插座，能兼容全部产品电源接口；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3、最大输入电流 30A，单路最大输出电流16A，工作电压 95V-240V；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4、无序主、副机控制选择开关，即插即用；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5、联机后可通过系统内任意一台时序器开工控制整个系统的开机、关机；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6、设备采用接线柱接线方式，配置63A大电流空气开关。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7、前面板拥有电压显示功能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8、最大输入电流: 30A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9、单路最大输出电流: 16A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10、控制协议: RS-232串口协议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11、工作电压: 110V ～ 240V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12、输出电源插座: 后面板 8 个受控 16A 万用插座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13、插座标准: 兼容国标 6A、10A、16A、英标 13A、美标 15A、欧标 G/M 插头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14、开关间隔时间:1 秒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电源时序器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16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</w:rPr>
              <w:t>机柜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</w:rPr>
              <w:t>玻璃门、万向轮、散热风机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highlight w:val="yellow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  <w:highlight w:val="none"/>
              </w:rPr>
              <w:t>机柜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17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音箱线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2*2铜芯线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音箱线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18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话筒线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缠绕屏蔽麦克风线缆，采用优质高纯度（OFC）无氧铜丝绞合，特别配方聚氯乙烯绝缘，2芯加黄铜丝缠绕屏蔽，黑色弹性聚氯乙烯护套，外径：6.0mm，导体截面积：0.3mm2，导体直流电阻59Ω /km，芯与芯之间的电容：150pF/m，芯与屏蔽之间的电容：250pF/m。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话筒线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19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话筒地弹盒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  <w:t>铜质防水面板120mm*120mm，内嵌防水密封圈；四位模块化设计，可选配HDMI接口、音频接口、卡侬接口、网络接口等；配置专用底盒，底盒深度55mm。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话筒地弹盒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5" w:type="dxa"/>
            <w:vAlign w:val="center"/>
          </w:tcPr>
          <w:p>
            <w:pPr>
              <w:pStyle w:val="4"/>
              <w:jc w:val="center"/>
              <w:rPr>
                <w:rFonts w:hint="default" w:hAnsi="宋体"/>
                <w:spacing w:val="-20"/>
                <w:sz w:val="16"/>
                <w:szCs w:val="16"/>
                <w:lang w:val="en-US" w:eastAsia="zh-CN"/>
              </w:rPr>
            </w:pPr>
            <w:r>
              <w:rPr>
                <w:rFonts w:hint="eastAsia" w:hAnsi="宋体"/>
                <w:spacing w:val="-20"/>
                <w:sz w:val="16"/>
                <w:szCs w:val="16"/>
                <w:lang w:val="en-US" w:eastAsia="zh-CN"/>
              </w:rPr>
              <w:t>20</w:t>
            </w:r>
          </w:p>
        </w:tc>
        <w:tc>
          <w:tcPr>
            <w:tcW w:w="1257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安装配件及安装调试</w:t>
            </w:r>
          </w:p>
        </w:tc>
        <w:tc>
          <w:tcPr>
            <w:tcW w:w="2125" w:type="dxa"/>
            <w:vAlign w:val="center"/>
          </w:tcPr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线管线槽、过机线、接插件、音箱吊挂件、电源排插等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6"/>
                <w:szCs w:val="16"/>
              </w:rPr>
              <w:t>安装配件及安装调试</w:t>
            </w:r>
          </w:p>
        </w:tc>
        <w:tc>
          <w:tcPr>
            <w:tcW w:w="2765" w:type="dxa"/>
            <w:vAlign w:val="center"/>
          </w:tcPr>
          <w:p>
            <w:pPr>
              <w:rPr>
                <w:rFonts w:hint="eastAsia" w:hAnsi="宋体" w:asciiTheme="minorHAnsi" w:eastAsiaTheme="minorEastAsia" w:cstheme="minorBidi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 w:val="16"/>
                <w:szCs w:val="16"/>
              </w:rPr>
              <w:t>请填入贵单位响应的内容。</w:t>
            </w:r>
          </w:p>
        </w:tc>
        <w:tc>
          <w:tcPr>
            <w:tcW w:w="1417" w:type="dxa"/>
            <w:vAlign w:val="center"/>
          </w:tcPr>
          <w:p>
            <w:pPr>
              <w:rPr>
                <w:rFonts w:ascii="宋体" w:hAnsi="宋体" w:eastAsiaTheme="minorEastAsia" w:cstheme="minorBidi"/>
                <w:color w:val="FF0000"/>
                <w:kern w:val="2"/>
                <w:sz w:val="16"/>
                <w:szCs w:val="16"/>
                <w:lang w:val="en-US" w:eastAsia="zh-CN" w:bidi="ar-SA"/>
              </w:rPr>
            </w:pPr>
            <w:r>
              <w:rPr>
                <w:rFonts w:ascii="宋体" w:hAnsi="宋体"/>
                <w:color w:val="FF0000"/>
                <w:sz w:val="16"/>
                <w:szCs w:val="16"/>
              </w:rPr>
              <w:t>正偏离（负偏离或无偏离）</w:t>
            </w:r>
          </w:p>
        </w:tc>
      </w:tr>
    </w:tbl>
    <w:p>
      <w:pPr>
        <w:pStyle w:val="4"/>
        <w:rPr>
          <w:rFonts w:hAnsi="宋体"/>
          <w:szCs w:val="21"/>
        </w:rPr>
      </w:pPr>
    </w:p>
    <w:p>
      <w:pPr>
        <w:pStyle w:val="4"/>
        <w:rPr>
          <w:rFonts w:hAnsi="宋体"/>
          <w:sz w:val="16"/>
          <w:szCs w:val="16"/>
        </w:rPr>
      </w:pPr>
      <w:r>
        <w:rPr>
          <w:rFonts w:hint="eastAsia" w:hAnsi="宋体"/>
          <w:sz w:val="16"/>
          <w:szCs w:val="16"/>
          <w:u w:val="single"/>
        </w:rPr>
        <w:t>　　</w:t>
      </w:r>
      <w:r>
        <w:rPr>
          <w:rFonts w:hint="eastAsia" w:hAnsi="宋体"/>
          <w:sz w:val="16"/>
          <w:szCs w:val="16"/>
        </w:rPr>
        <w:t>分项（有分项时填写）</w:t>
      </w:r>
    </w:p>
    <w:p>
      <w:pPr>
        <w:pStyle w:val="4"/>
        <w:rPr>
          <w:rFonts w:hAnsi="宋体"/>
          <w:sz w:val="16"/>
          <w:szCs w:val="16"/>
        </w:rPr>
      </w:pPr>
      <w:r>
        <w:rPr>
          <w:rFonts w:hAnsi="宋体"/>
          <w:sz w:val="16"/>
          <w:szCs w:val="16"/>
        </w:rPr>
        <w:t>......</w:t>
      </w:r>
    </w:p>
    <w:p>
      <w:pPr>
        <w:pStyle w:val="4"/>
        <w:rPr>
          <w:rFonts w:hAnsi="宋体"/>
          <w:sz w:val="16"/>
          <w:szCs w:val="16"/>
        </w:rPr>
      </w:pPr>
    </w:p>
    <w:p>
      <w:pPr>
        <w:pStyle w:val="4"/>
        <w:spacing w:line="400" w:lineRule="exact"/>
        <w:rPr>
          <w:rFonts w:hAnsi="宋体"/>
          <w:sz w:val="16"/>
          <w:szCs w:val="16"/>
        </w:rPr>
      </w:pPr>
      <w:r>
        <w:rPr>
          <w:rFonts w:hAnsi="宋体"/>
          <w:sz w:val="16"/>
          <w:szCs w:val="16"/>
        </w:rPr>
        <w:t>注：⑴表格内容均需按要求填写并盖章，不得留空，</w:t>
      </w:r>
      <w:r>
        <w:rPr>
          <w:rFonts w:hAnsi="宋体"/>
          <w:bCs/>
          <w:sz w:val="16"/>
          <w:szCs w:val="16"/>
        </w:rPr>
        <w:t>否则按无效</w:t>
      </w:r>
      <w:r>
        <w:rPr>
          <w:rFonts w:hint="eastAsia" w:hAnsi="宋体"/>
          <w:bCs/>
          <w:sz w:val="16"/>
          <w:szCs w:val="16"/>
        </w:rPr>
        <w:t>响应</w:t>
      </w:r>
      <w:r>
        <w:rPr>
          <w:rFonts w:hAnsi="宋体"/>
          <w:bCs/>
          <w:sz w:val="16"/>
          <w:szCs w:val="16"/>
        </w:rPr>
        <w:t>处理</w:t>
      </w:r>
      <w:r>
        <w:rPr>
          <w:rFonts w:hAnsi="宋体"/>
          <w:sz w:val="16"/>
          <w:szCs w:val="16"/>
        </w:rPr>
        <w:t>。</w:t>
      </w:r>
    </w:p>
    <w:p>
      <w:pPr>
        <w:pStyle w:val="4"/>
        <w:spacing w:line="400" w:lineRule="exact"/>
        <w:ind w:left="639" w:leftChars="228" w:hanging="160" w:hangingChars="100"/>
        <w:rPr>
          <w:rFonts w:hAnsi="宋体"/>
          <w:sz w:val="16"/>
          <w:szCs w:val="16"/>
        </w:rPr>
      </w:pPr>
      <w:r>
        <w:rPr>
          <w:rFonts w:hAnsi="宋体"/>
          <w:bCs/>
          <w:sz w:val="16"/>
          <w:szCs w:val="16"/>
        </w:rPr>
        <w:t>⑵当</w:t>
      </w:r>
      <w:r>
        <w:rPr>
          <w:rFonts w:hint="eastAsia" w:hAnsi="宋体"/>
          <w:bCs/>
          <w:sz w:val="16"/>
          <w:szCs w:val="16"/>
        </w:rPr>
        <w:t>响应</w:t>
      </w:r>
      <w:r>
        <w:rPr>
          <w:rFonts w:hAnsi="宋体"/>
          <w:bCs/>
          <w:sz w:val="16"/>
          <w:szCs w:val="16"/>
        </w:rPr>
        <w:t>文件的内容低于</w:t>
      </w:r>
      <w:r>
        <w:rPr>
          <w:rFonts w:hint="eastAsia" w:hAnsi="宋体"/>
          <w:bCs/>
          <w:sz w:val="16"/>
          <w:szCs w:val="16"/>
        </w:rPr>
        <w:t>附件1采购</w:t>
      </w:r>
      <w:r>
        <w:rPr>
          <w:rFonts w:hint="eastAsia" w:asciiTheme="minorEastAsia" w:hAnsiTheme="minorEastAsia"/>
          <w:sz w:val="16"/>
          <w:szCs w:val="16"/>
        </w:rPr>
        <w:t>需求一览表”</w:t>
      </w:r>
      <w:r>
        <w:rPr>
          <w:rFonts w:hAnsi="宋体"/>
          <w:bCs/>
          <w:sz w:val="16"/>
          <w:szCs w:val="16"/>
        </w:rPr>
        <w:t>要求时，</w:t>
      </w:r>
      <w:r>
        <w:rPr>
          <w:rFonts w:hint="eastAsia" w:hAnsi="宋体"/>
          <w:bCs/>
          <w:sz w:val="16"/>
          <w:szCs w:val="16"/>
        </w:rPr>
        <w:t>供应商</w:t>
      </w:r>
      <w:r>
        <w:rPr>
          <w:rFonts w:hAnsi="宋体"/>
          <w:bCs/>
          <w:sz w:val="16"/>
          <w:szCs w:val="16"/>
        </w:rPr>
        <w:t>应当如实写明“负偏离”，否则视为虚假</w:t>
      </w:r>
      <w:r>
        <w:rPr>
          <w:rFonts w:hint="eastAsia" w:hAnsi="宋体"/>
          <w:bCs/>
          <w:sz w:val="16"/>
          <w:szCs w:val="16"/>
        </w:rPr>
        <w:t>响应</w:t>
      </w:r>
      <w:r>
        <w:rPr>
          <w:rFonts w:hAnsi="宋体"/>
          <w:bCs/>
          <w:sz w:val="16"/>
          <w:szCs w:val="16"/>
        </w:rPr>
        <w:t>。</w:t>
      </w:r>
    </w:p>
    <w:p>
      <w:pPr>
        <w:pStyle w:val="4"/>
        <w:spacing w:line="400" w:lineRule="exact"/>
        <w:rPr>
          <w:rFonts w:hAnsi="宋体"/>
          <w:sz w:val="16"/>
          <w:szCs w:val="16"/>
        </w:rPr>
      </w:pPr>
      <w:r>
        <w:rPr>
          <w:rFonts w:hint="eastAsia" w:hAnsi="宋体"/>
          <w:sz w:val="16"/>
          <w:szCs w:val="16"/>
          <w:lang w:eastAsia="zh-CN"/>
        </w:rPr>
        <w:t>响应</w:t>
      </w:r>
      <w:r>
        <w:rPr>
          <w:rFonts w:hint="eastAsia" w:hAnsi="宋体"/>
          <w:sz w:val="16"/>
          <w:szCs w:val="16"/>
        </w:rPr>
        <w:t>人（盖单位公章）：</w:t>
      </w:r>
    </w:p>
    <w:p>
      <w:pPr>
        <w:pStyle w:val="2"/>
        <w:numPr>
          <w:ilvl w:val="3"/>
          <w:numId w:val="0"/>
        </w:numPr>
        <w:ind w:left="1077"/>
        <w:rPr>
          <w:sz w:val="16"/>
          <w:szCs w:val="16"/>
        </w:rPr>
      </w:pPr>
    </w:p>
    <w:p>
      <w:pPr>
        <w:pStyle w:val="4"/>
        <w:spacing w:line="400" w:lineRule="exact"/>
        <w:rPr>
          <w:rFonts w:hAnsi="宋体"/>
          <w:sz w:val="16"/>
          <w:szCs w:val="16"/>
        </w:rPr>
      </w:pPr>
      <w:bookmarkStart w:id="0" w:name="_Toc460253713"/>
      <w:bookmarkStart w:id="1" w:name="_Toc521096352"/>
      <w:r>
        <w:rPr>
          <w:rFonts w:hint="eastAsia" w:hAnsi="宋体"/>
          <w:sz w:val="16"/>
          <w:szCs w:val="16"/>
        </w:rPr>
        <w:t>法定代表人或其委托代理人（签字或盖章）：</w:t>
      </w:r>
      <w:bookmarkEnd w:id="0"/>
      <w:bookmarkEnd w:id="1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A14A5"/>
    <w:rsid w:val="024A1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font171"/>
    <w:basedOn w:val="7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9">
    <w:name w:val="font191"/>
    <w:basedOn w:val="7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2021-05-10T08:34:00Z</dcterms:created>
  <dc:creator>WPS</dc:creator>
  <cp:lastModifiedBy>WPS</cp:lastModifiedBy>
  <dcterms:modified xsi:type="dcterms:W3CDTF">2021-05-10T08:42:05Z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7D7CCD1563814C7C997FEC71993F1070</vt:lpwstr>
  </property>
</Properties>
</file>