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b/>
          <w:sz w:val="32"/>
        </w:rPr>
      </w:pPr>
      <w:r>
        <w:rPr>
          <w:rFonts w:hint="eastAsia"/>
          <w:b/>
          <w:sz w:val="32"/>
        </w:rPr>
        <w:t>附件1</w:t>
      </w:r>
    </w:p>
    <w:p>
      <w:pPr>
        <w:pStyle w:val="5"/>
        <w:jc w:val="center"/>
        <w:rPr>
          <w:rFonts w:hint="eastAsia"/>
          <w:b/>
          <w:sz w:val="32"/>
        </w:rPr>
      </w:pPr>
      <w:bookmarkStart w:id="0" w:name="_GoBack"/>
      <w:r>
        <w:rPr>
          <w:rFonts w:hint="eastAsia"/>
          <w:b/>
          <w:sz w:val="32"/>
        </w:rPr>
        <w:t>采购需求一览表</w:t>
      </w:r>
      <w:bookmarkEnd w:id="0"/>
    </w:p>
    <w:tbl>
      <w:tblPr>
        <w:tblStyle w:val="6"/>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lang w:eastAsia="zh-CN"/>
              </w:rPr>
              <w:t>南宁中心血站医科大捐血屋设计服务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368" w:type="dxa"/>
            <w:tcBorders>
              <w:top w:val="single" w:color="auto" w:sz="4" w:space="0"/>
              <w:left w:val="single" w:color="auto" w:sz="4" w:space="0"/>
              <w:bottom w:val="single" w:color="auto" w:sz="4" w:space="0"/>
              <w:right w:val="single" w:color="auto" w:sz="4" w:space="0"/>
            </w:tcBorders>
            <w:vAlign w:val="center"/>
          </w:tcPr>
          <w:p>
            <w:pPr>
              <w:pStyle w:val="4"/>
              <w:numPr>
                <w:ilvl w:val="0"/>
                <w:numId w:val="2"/>
              </w:numPr>
              <w:rPr>
                <w:rFonts w:hint="eastAsia"/>
                <w:lang w:eastAsia="zh-CN"/>
              </w:rPr>
            </w:pPr>
            <w:r>
              <w:rPr>
                <w:rFonts w:hint="eastAsia"/>
                <w:lang w:eastAsia="zh-CN"/>
              </w:rPr>
              <w:t>项目需求</w:t>
            </w:r>
          </w:p>
          <w:p>
            <w:pPr>
              <w:pStyle w:val="4"/>
              <w:widowControl w:val="0"/>
              <w:numPr>
                <w:ilvl w:val="0"/>
                <w:numId w:val="0"/>
              </w:numPr>
              <w:spacing w:after="120"/>
              <w:jc w:val="both"/>
              <w:rPr>
                <w:rFonts w:hint="eastAsia"/>
                <w:lang w:eastAsia="zh-CN"/>
              </w:rPr>
            </w:pPr>
            <w:r>
              <w:rPr>
                <w:rFonts w:hint="eastAsia"/>
                <w:lang w:eastAsia="zh-CN"/>
              </w:rPr>
              <w:t>本次设计要求包括捐血屋概念策划配合、概念设计、方案设计和初步设计、布局设计，施工图设计以及后续视觉引导服务等。</w:t>
            </w:r>
          </w:p>
          <w:p>
            <w:pPr>
              <w:pStyle w:val="4"/>
              <w:widowControl w:val="0"/>
              <w:numPr>
                <w:ilvl w:val="0"/>
                <w:numId w:val="0"/>
              </w:numPr>
              <w:spacing w:after="120"/>
              <w:jc w:val="both"/>
              <w:rPr>
                <w:rFonts w:hint="eastAsia"/>
                <w:lang w:eastAsia="zh-CN"/>
              </w:rPr>
            </w:pPr>
            <w:r>
              <w:rPr>
                <w:rFonts w:hint="eastAsia"/>
                <w:lang w:eastAsia="zh-CN"/>
              </w:rPr>
              <w:t>捐血屋规格：捐血屋尺寸长15米、宽5.2米、高6.8米、室内面积约80平方米.室外景观廊约60平方。</w:t>
            </w:r>
          </w:p>
          <w:p>
            <w:pPr>
              <w:pStyle w:val="4"/>
              <w:widowControl w:val="0"/>
              <w:numPr>
                <w:ilvl w:val="0"/>
                <w:numId w:val="0"/>
              </w:numPr>
              <w:spacing w:after="120"/>
              <w:jc w:val="both"/>
              <w:rPr>
                <w:rFonts w:hint="eastAsia"/>
                <w:lang w:eastAsia="zh-CN"/>
              </w:rPr>
            </w:pPr>
            <w:r>
              <w:rPr>
                <w:rFonts w:hint="eastAsia"/>
                <w:lang w:eastAsia="zh-CN"/>
              </w:rPr>
              <w:t>（一）总体设计要求：</w:t>
            </w:r>
          </w:p>
          <w:p>
            <w:pPr>
              <w:pStyle w:val="4"/>
              <w:widowControl w:val="0"/>
              <w:numPr>
                <w:ilvl w:val="0"/>
                <w:numId w:val="0"/>
              </w:numPr>
              <w:spacing w:after="120"/>
              <w:jc w:val="both"/>
              <w:rPr>
                <w:rFonts w:hint="eastAsia"/>
                <w:lang w:eastAsia="zh-CN"/>
              </w:rPr>
            </w:pPr>
            <w:r>
              <w:rPr>
                <w:rFonts w:hint="eastAsia"/>
                <w:lang w:eastAsia="zh-CN"/>
              </w:rPr>
              <w:t>(1)需要实地考察现场及周边环境，根据实际需求制定符合捐血屋形象的设计；</w:t>
            </w:r>
          </w:p>
          <w:p>
            <w:pPr>
              <w:pStyle w:val="4"/>
              <w:widowControl w:val="0"/>
              <w:numPr>
                <w:ilvl w:val="0"/>
                <w:numId w:val="0"/>
              </w:numPr>
              <w:spacing w:after="120"/>
              <w:jc w:val="both"/>
              <w:rPr>
                <w:rFonts w:hint="eastAsia"/>
                <w:lang w:eastAsia="zh-CN"/>
              </w:rPr>
            </w:pPr>
            <w:r>
              <w:rPr>
                <w:rFonts w:hint="eastAsia"/>
                <w:lang w:eastAsia="zh-CN"/>
              </w:rPr>
              <w:t>(2)与周边环境融合，外立面形象要有吸引力；</w:t>
            </w:r>
          </w:p>
          <w:p>
            <w:pPr>
              <w:pStyle w:val="4"/>
              <w:widowControl w:val="0"/>
              <w:numPr>
                <w:ilvl w:val="0"/>
                <w:numId w:val="0"/>
              </w:numPr>
              <w:spacing w:after="120"/>
              <w:jc w:val="both"/>
              <w:rPr>
                <w:rFonts w:hint="eastAsia"/>
                <w:lang w:eastAsia="zh-CN"/>
              </w:rPr>
            </w:pPr>
            <w:r>
              <w:rPr>
                <w:rFonts w:hint="eastAsia"/>
                <w:lang w:eastAsia="zh-CN"/>
              </w:rPr>
              <w:t>★(3)室内室外互动设计，室内要求复式设计。</w:t>
            </w:r>
          </w:p>
          <w:p>
            <w:pPr>
              <w:pStyle w:val="4"/>
              <w:widowControl w:val="0"/>
              <w:numPr>
                <w:ilvl w:val="0"/>
                <w:numId w:val="0"/>
              </w:numPr>
              <w:spacing w:after="120"/>
              <w:jc w:val="both"/>
              <w:rPr>
                <w:rFonts w:hint="eastAsia"/>
                <w:lang w:eastAsia="zh-CN"/>
              </w:rPr>
            </w:pPr>
            <w:r>
              <w:rPr>
                <w:rFonts w:hint="eastAsia"/>
                <w:lang w:eastAsia="zh-CN"/>
              </w:rPr>
              <w:t>（二）捐血屋主体设计服务</w:t>
            </w:r>
          </w:p>
          <w:p>
            <w:pPr>
              <w:pStyle w:val="4"/>
              <w:widowControl w:val="0"/>
              <w:numPr>
                <w:ilvl w:val="0"/>
                <w:numId w:val="0"/>
              </w:numPr>
              <w:spacing w:after="120"/>
              <w:jc w:val="both"/>
              <w:rPr>
                <w:rFonts w:hint="eastAsia"/>
                <w:lang w:eastAsia="zh-CN"/>
              </w:rPr>
            </w:pPr>
            <w:r>
              <w:rPr>
                <w:rFonts w:hint="eastAsia"/>
                <w:lang w:eastAsia="zh-CN"/>
              </w:rPr>
              <w:t xml:space="preserve">★(1)时尚性--设计方案可以根据时代潮流元素以及大部分年轻人的审美去设计，要求突出活力，积极，彰显潮流所趋，打造网红休闲打卡地。                                           </w:t>
            </w:r>
          </w:p>
          <w:p>
            <w:pPr>
              <w:pStyle w:val="4"/>
              <w:widowControl w:val="0"/>
              <w:numPr>
                <w:ilvl w:val="0"/>
                <w:numId w:val="0"/>
              </w:numPr>
              <w:spacing w:after="120"/>
              <w:jc w:val="both"/>
              <w:rPr>
                <w:rFonts w:hint="eastAsia"/>
                <w:lang w:eastAsia="zh-CN"/>
              </w:rPr>
            </w:pPr>
            <w:r>
              <w:rPr>
                <w:rFonts w:hint="eastAsia"/>
                <w:lang w:eastAsia="zh-CN"/>
              </w:rPr>
              <w:t>★(2)耐用性--设计方案所用材料应考虑可以经久耐用，能持续抵抗风摧雨淋，具有良好的隔热效果，例如：外墙可采用铝单板、质感漆等，内墙采用新型墙面环保材料，玻璃幕墙等。</w:t>
            </w:r>
          </w:p>
          <w:p>
            <w:pPr>
              <w:pStyle w:val="4"/>
              <w:widowControl w:val="0"/>
              <w:numPr>
                <w:ilvl w:val="0"/>
                <w:numId w:val="0"/>
              </w:numPr>
              <w:spacing w:after="120"/>
              <w:jc w:val="both"/>
              <w:rPr>
                <w:rFonts w:hint="eastAsia"/>
                <w:lang w:eastAsia="zh-CN"/>
              </w:rPr>
            </w:pPr>
            <w:r>
              <w:rPr>
                <w:rFonts w:hint="eastAsia"/>
                <w:lang w:eastAsia="zh-CN"/>
              </w:rPr>
              <w:t xml:space="preserve">(3)标志性--形体特征上有建筑艺术小品的雕塑感特征，提升环境品质感，为周边建筑加分。 </w:t>
            </w:r>
          </w:p>
          <w:p>
            <w:pPr>
              <w:pStyle w:val="4"/>
              <w:widowControl w:val="0"/>
              <w:numPr>
                <w:ilvl w:val="0"/>
                <w:numId w:val="0"/>
              </w:numPr>
              <w:spacing w:after="120"/>
              <w:jc w:val="both"/>
              <w:rPr>
                <w:rFonts w:hint="eastAsia"/>
                <w:lang w:eastAsia="zh-CN"/>
              </w:rPr>
            </w:pPr>
            <w:r>
              <w:rPr>
                <w:rFonts w:hint="eastAsia"/>
                <w:lang w:eastAsia="zh-CN"/>
              </w:rPr>
              <w:t xml:space="preserve">(4)融入性--不突兀，不违和，整体上融入环境的优雅设计。 </w:t>
            </w:r>
          </w:p>
          <w:p>
            <w:pPr>
              <w:pStyle w:val="4"/>
              <w:widowControl w:val="0"/>
              <w:numPr>
                <w:ilvl w:val="0"/>
                <w:numId w:val="0"/>
              </w:numPr>
              <w:spacing w:after="120"/>
              <w:jc w:val="both"/>
              <w:rPr>
                <w:rFonts w:hint="eastAsia"/>
                <w:lang w:eastAsia="zh-CN"/>
              </w:rPr>
            </w:pPr>
            <w:r>
              <w:rPr>
                <w:rFonts w:hint="eastAsia"/>
                <w:lang w:eastAsia="zh-CN"/>
              </w:rPr>
              <w:t xml:space="preserve">★(5)功能性--满足献血基本功能，并使得在功能促进社会对献血事业的认知。 </w:t>
            </w:r>
          </w:p>
          <w:p>
            <w:pPr>
              <w:pStyle w:val="4"/>
              <w:widowControl w:val="0"/>
              <w:numPr>
                <w:ilvl w:val="0"/>
                <w:numId w:val="3"/>
              </w:numPr>
              <w:spacing w:after="120"/>
              <w:jc w:val="both"/>
              <w:rPr>
                <w:rFonts w:hint="eastAsia"/>
                <w:lang w:eastAsia="zh-CN"/>
              </w:rPr>
            </w:pPr>
            <w:r>
              <w:rPr>
                <w:rFonts w:hint="eastAsia"/>
                <w:lang w:eastAsia="zh-CN"/>
              </w:rPr>
              <w:t>艺术性--艺术植入与周边商业店铺形成链接，使得内外空间得以延展，在功能性基础上得以升华。</w:t>
            </w:r>
          </w:p>
          <w:p>
            <w:pPr>
              <w:pStyle w:val="4"/>
              <w:widowControl w:val="0"/>
              <w:numPr>
                <w:ilvl w:val="0"/>
                <w:numId w:val="0"/>
              </w:numPr>
              <w:spacing w:after="120"/>
              <w:jc w:val="both"/>
              <w:rPr>
                <w:rFonts w:hint="eastAsia"/>
                <w:lang w:eastAsia="zh-CN"/>
              </w:rPr>
            </w:pPr>
            <w:r>
              <w:rPr>
                <w:rFonts w:hint="eastAsia"/>
                <w:lang w:eastAsia="zh-CN"/>
              </w:rPr>
              <w:t>（三）室内设计服务</w:t>
            </w:r>
          </w:p>
          <w:p>
            <w:pPr>
              <w:pStyle w:val="4"/>
              <w:widowControl w:val="0"/>
              <w:numPr>
                <w:ilvl w:val="0"/>
                <w:numId w:val="0"/>
              </w:numPr>
              <w:spacing w:after="120"/>
              <w:jc w:val="both"/>
              <w:rPr>
                <w:rFonts w:hint="eastAsia"/>
                <w:lang w:eastAsia="zh-CN"/>
              </w:rPr>
            </w:pPr>
            <w:r>
              <w:rPr>
                <w:rFonts w:hint="eastAsia"/>
                <w:lang w:eastAsia="zh-CN"/>
              </w:rPr>
              <w:t>★(1)捐血屋装饰风格要求简约、温馨，减少医疗空间氛围，充分考虑人文关怀细节。</w:t>
            </w:r>
          </w:p>
          <w:p>
            <w:pPr>
              <w:pStyle w:val="4"/>
              <w:widowControl w:val="0"/>
              <w:numPr>
                <w:ilvl w:val="0"/>
                <w:numId w:val="0"/>
              </w:numPr>
              <w:spacing w:after="120"/>
              <w:jc w:val="both"/>
              <w:rPr>
                <w:rFonts w:hint="eastAsia"/>
                <w:lang w:eastAsia="zh-CN"/>
              </w:rPr>
            </w:pPr>
            <w:r>
              <w:rPr>
                <w:rFonts w:hint="eastAsia"/>
                <w:lang w:eastAsia="zh-CN"/>
              </w:rPr>
              <w:t>★(2)通过导视物料设计清晰指引献血和分区位置，内容包括等候区、身份查询区、健康征询区、体检区、信息录入区、血液采集区、采血信息录入区、献血后休息区、献血证发放区（以上所有区域标识一式两份，分别为吊牌式和地贴式。）等，与整体室内环境融合。</w:t>
            </w:r>
          </w:p>
          <w:p>
            <w:pPr>
              <w:pStyle w:val="4"/>
              <w:widowControl w:val="0"/>
              <w:numPr>
                <w:ilvl w:val="0"/>
                <w:numId w:val="0"/>
              </w:numPr>
              <w:spacing w:after="120"/>
              <w:jc w:val="both"/>
              <w:rPr>
                <w:rFonts w:hint="eastAsia"/>
                <w:lang w:eastAsia="zh-CN"/>
              </w:rPr>
            </w:pPr>
            <w:r>
              <w:rPr>
                <w:rFonts w:hint="eastAsia"/>
                <w:lang w:eastAsia="zh-CN"/>
              </w:rPr>
              <w:t>★(3)平面功能分区合理，动线流畅，人流分明。从流线、空间布局、互动上重新定义献血空间，充分考虑献血者、工作人员的空间体验感。除室内布局考虑外，整体设计要与周边环境设施的设计和布置，包括献血者出入路径等问题。</w:t>
            </w:r>
          </w:p>
          <w:p>
            <w:pPr>
              <w:pStyle w:val="4"/>
              <w:widowControl w:val="0"/>
              <w:numPr>
                <w:ilvl w:val="0"/>
                <w:numId w:val="0"/>
              </w:numPr>
              <w:spacing w:after="120"/>
              <w:jc w:val="both"/>
              <w:rPr>
                <w:rFonts w:hint="eastAsia"/>
                <w:lang w:eastAsia="zh-CN"/>
              </w:rPr>
            </w:pPr>
            <w:r>
              <w:rPr>
                <w:rFonts w:hint="eastAsia"/>
                <w:lang w:eastAsia="zh-CN"/>
              </w:rPr>
              <w:t>(4)立面色彩简洁明快，采光充分，舒适温馨。</w:t>
            </w:r>
          </w:p>
          <w:p>
            <w:pPr>
              <w:pStyle w:val="4"/>
              <w:widowControl w:val="0"/>
              <w:numPr>
                <w:ilvl w:val="0"/>
                <w:numId w:val="0"/>
              </w:numPr>
              <w:spacing w:after="120"/>
              <w:jc w:val="both"/>
              <w:rPr>
                <w:rFonts w:hint="eastAsia"/>
                <w:lang w:eastAsia="zh-CN"/>
              </w:rPr>
            </w:pPr>
            <w:r>
              <w:rPr>
                <w:rFonts w:hint="eastAsia"/>
                <w:lang w:eastAsia="zh-CN"/>
              </w:rPr>
              <w:t>(5)固定家具满足实用需求，充分考虑储藏功能。</w:t>
            </w:r>
          </w:p>
          <w:p>
            <w:pPr>
              <w:pStyle w:val="4"/>
              <w:widowControl w:val="0"/>
              <w:numPr>
                <w:ilvl w:val="0"/>
                <w:numId w:val="0"/>
              </w:numPr>
              <w:spacing w:after="120"/>
              <w:jc w:val="both"/>
              <w:rPr>
                <w:rFonts w:hint="eastAsia"/>
                <w:lang w:eastAsia="zh-CN"/>
              </w:rPr>
            </w:pPr>
            <w:r>
              <w:rPr>
                <w:rFonts w:hint="eastAsia"/>
                <w:lang w:eastAsia="zh-CN"/>
              </w:rPr>
              <w:t>（四）献血宣传视觉设计服务</w:t>
            </w:r>
          </w:p>
          <w:p>
            <w:pPr>
              <w:pStyle w:val="4"/>
              <w:widowControl w:val="0"/>
              <w:numPr>
                <w:ilvl w:val="0"/>
                <w:numId w:val="0"/>
              </w:numPr>
              <w:spacing w:after="120"/>
              <w:jc w:val="both"/>
              <w:rPr>
                <w:rFonts w:hint="eastAsia"/>
                <w:lang w:eastAsia="zh-CN"/>
              </w:rPr>
            </w:pPr>
            <w:r>
              <w:rPr>
                <w:rFonts w:hint="eastAsia"/>
                <w:lang w:eastAsia="zh-CN"/>
              </w:rPr>
              <w:t>(1)响应人应提供宣传方案，内容包括但不限于涵盖献血全流程的操作及路线引导，要求标识清晰，指示分明。</w:t>
            </w:r>
          </w:p>
          <w:p>
            <w:pPr>
              <w:pStyle w:val="4"/>
              <w:widowControl w:val="0"/>
              <w:numPr>
                <w:ilvl w:val="0"/>
                <w:numId w:val="0"/>
              </w:numPr>
              <w:spacing w:after="120"/>
              <w:jc w:val="both"/>
              <w:rPr>
                <w:rFonts w:hint="eastAsia"/>
                <w:lang w:eastAsia="zh-CN"/>
              </w:rPr>
            </w:pPr>
            <w:r>
              <w:rPr>
                <w:rFonts w:hint="eastAsia"/>
                <w:lang w:eastAsia="zh-CN"/>
              </w:rPr>
              <w:t>(2)方案应结合捐血屋空间设计与献血宣传物料设计，不仅能让现场人群直观地看到献血活动，达到宣传献血活动的效果，甚至能引导大家献血。</w:t>
            </w:r>
          </w:p>
          <w:p>
            <w:pPr>
              <w:pStyle w:val="4"/>
              <w:widowControl w:val="0"/>
              <w:numPr>
                <w:ilvl w:val="0"/>
                <w:numId w:val="0"/>
              </w:numPr>
              <w:spacing w:after="120"/>
              <w:jc w:val="both"/>
              <w:rPr>
                <w:rFonts w:hint="eastAsia"/>
                <w:lang w:eastAsia="zh-CN"/>
              </w:rPr>
            </w:pPr>
            <w:r>
              <w:rPr>
                <w:rFonts w:hint="eastAsia"/>
                <w:lang w:eastAsia="zh-CN"/>
              </w:rPr>
              <w:t>二、其他需求</w:t>
            </w:r>
          </w:p>
          <w:p>
            <w:pPr>
              <w:pStyle w:val="4"/>
              <w:widowControl w:val="0"/>
              <w:numPr>
                <w:ilvl w:val="0"/>
                <w:numId w:val="0"/>
              </w:numPr>
              <w:spacing w:after="120"/>
              <w:jc w:val="both"/>
              <w:rPr>
                <w:rFonts w:hint="eastAsia"/>
                <w:lang w:val="en-US" w:eastAsia="zh-CN"/>
              </w:rPr>
            </w:pPr>
            <w:r>
              <w:rPr>
                <w:rFonts w:hint="eastAsia"/>
                <w:lang w:val="en-US" w:eastAsia="zh-CN"/>
              </w:rPr>
              <w:t>1、成交供应商设计最终成果必须足以使任何有资质的第三方能按照它进行制作、施工，并制作成品。它包括但不限于以下内容：</w:t>
            </w:r>
          </w:p>
          <w:p>
            <w:pPr>
              <w:pStyle w:val="4"/>
              <w:widowControl w:val="0"/>
              <w:numPr>
                <w:ilvl w:val="0"/>
                <w:numId w:val="0"/>
              </w:numPr>
              <w:spacing w:after="120"/>
              <w:jc w:val="both"/>
              <w:rPr>
                <w:rFonts w:hint="eastAsia"/>
                <w:lang w:val="en-US" w:eastAsia="zh-CN"/>
              </w:rPr>
            </w:pPr>
            <w:r>
              <w:rPr>
                <w:rFonts w:hint="eastAsia"/>
                <w:lang w:val="en-US" w:eastAsia="zh-CN"/>
              </w:rPr>
              <w:t>（1）成交供应商主动与采购人进行设计理念及目标交流，编写交流结果汇总报告并免费按照报告修改设计方案。</w:t>
            </w:r>
          </w:p>
          <w:p>
            <w:pPr>
              <w:pStyle w:val="4"/>
              <w:widowControl w:val="0"/>
              <w:numPr>
                <w:ilvl w:val="0"/>
                <w:numId w:val="0"/>
              </w:numPr>
              <w:spacing w:after="120"/>
              <w:jc w:val="both"/>
              <w:rPr>
                <w:rFonts w:hint="eastAsia"/>
                <w:lang w:val="en-US" w:eastAsia="zh-CN"/>
              </w:rPr>
            </w:pPr>
            <w:r>
              <w:rPr>
                <w:rFonts w:hint="eastAsia"/>
                <w:lang w:val="en-US" w:eastAsia="zh-CN"/>
              </w:rPr>
              <w:t>（2）成交供应商向采购人提供完整的项目施工图纸及测量、设计报告。</w:t>
            </w:r>
          </w:p>
          <w:p>
            <w:pPr>
              <w:pStyle w:val="4"/>
              <w:widowControl w:val="0"/>
              <w:numPr>
                <w:ilvl w:val="0"/>
                <w:numId w:val="0"/>
              </w:numPr>
              <w:spacing w:after="120"/>
              <w:jc w:val="both"/>
              <w:rPr>
                <w:rFonts w:hint="default"/>
                <w:lang w:val="en-US" w:eastAsia="zh-CN"/>
              </w:rPr>
            </w:pPr>
            <w:r>
              <w:rPr>
                <w:rFonts w:hint="eastAsia"/>
                <w:lang w:val="en-US" w:eastAsia="zh-CN"/>
              </w:rPr>
              <w:t>（3）成交供应商的测量及设计方案按照采购人的意见修改并正式定稿后，如遇特殊情况需要测量及规划设计人员到现场处理的，成交供应商必须无条件派人到场处理。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pPr>
            <w:r>
              <w:rPr>
                <w:rFonts w:hint="eastAsia"/>
              </w:rPr>
              <w:t>一、合同签订期：自采购结果公示结束后</w:t>
            </w:r>
            <w:r>
              <w:rPr>
                <w:rFonts w:hint="eastAsia"/>
                <w:lang w:val="en-US" w:eastAsia="zh-CN"/>
              </w:rPr>
              <w:t>5</w:t>
            </w:r>
            <w:r>
              <w:rPr>
                <w:rFonts w:hint="eastAsia"/>
              </w:rPr>
              <w:t>个工作日内。</w:t>
            </w:r>
          </w:p>
          <w:p>
            <w:pPr>
              <w:spacing w:line="420" w:lineRule="exact"/>
            </w:pPr>
            <w:r>
              <w:rPr>
                <w:rFonts w:hint="eastAsia"/>
              </w:rPr>
              <w:t>二、提交服务成果时间：自合同签订之日起</w:t>
            </w:r>
            <w:r>
              <w:rPr>
                <w:rFonts w:hint="eastAsia"/>
                <w:lang w:val="en-US" w:eastAsia="zh-CN"/>
              </w:rPr>
              <w:t>5个工作日内</w:t>
            </w:r>
            <w:r>
              <w:rPr>
                <w:rFonts w:hint="eastAsia"/>
              </w:rPr>
              <w:t>。</w:t>
            </w:r>
          </w:p>
          <w:p>
            <w:pPr>
              <w:spacing w:line="420" w:lineRule="exact"/>
            </w:pPr>
            <w:r>
              <w:rPr>
                <w:rFonts w:hint="eastAsia"/>
              </w:rPr>
              <w:t>三、提交服务成果地点：南宁中心血站指定地点。</w:t>
            </w:r>
          </w:p>
          <w:p>
            <w:pPr>
              <w:spacing w:line="420" w:lineRule="exact"/>
            </w:pPr>
            <w:r>
              <w:rPr>
                <w:rFonts w:hint="eastAsia"/>
              </w:rPr>
              <w:t>四、售后服务要求：</w:t>
            </w:r>
          </w:p>
          <w:p>
            <w:pPr>
              <w:spacing w:line="420" w:lineRule="exact"/>
            </w:pPr>
            <w:r>
              <w:rPr>
                <w:rFonts w:hint="eastAsia"/>
              </w:rPr>
              <w:t>（一）质量保证期：服务验收合格之日起</w:t>
            </w:r>
            <w:r>
              <w:rPr>
                <w:rFonts w:hint="eastAsia"/>
                <w:lang w:eastAsia="zh-CN"/>
              </w:rPr>
              <w:t>半年</w:t>
            </w:r>
            <w:r>
              <w:rPr>
                <w:rFonts w:hint="eastAsia"/>
              </w:rPr>
              <w:t>。</w:t>
            </w:r>
          </w:p>
          <w:p>
            <w:pPr>
              <w:spacing w:line="420" w:lineRule="exact"/>
            </w:pPr>
            <w:r>
              <w:rPr>
                <w:rFonts w:hint="eastAsia"/>
              </w:rPr>
              <w:t>（二）处理问题响应时间：接到采购人处理问题通知后4小时内到达采购人指定现场。</w:t>
            </w:r>
          </w:p>
          <w:p>
            <w:pPr>
              <w:spacing w:line="420" w:lineRule="exact"/>
            </w:pPr>
            <w:r>
              <w:rPr>
                <w:rFonts w:hint="eastAsia"/>
              </w:rPr>
              <w:t>五、付款方式：</w:t>
            </w:r>
          </w:p>
          <w:p>
            <w:pPr>
              <w:spacing w:line="420" w:lineRule="exact"/>
            </w:pPr>
            <w:r>
              <w:rPr>
                <w:rFonts w:hint="eastAsia"/>
              </w:rPr>
              <w:t>（一）本项目合同签订后，</w:t>
            </w:r>
            <w:r>
              <w:rPr>
                <w:rFonts w:hint="eastAsia"/>
                <w:lang w:eastAsia="zh-CN"/>
              </w:rPr>
              <w:t>供应商提供完整的设计方案及全套的设计图纸并经采购人认可后一次性支付合同款</w:t>
            </w:r>
            <w:r>
              <w:rPr>
                <w:rFonts w:hint="eastAsia"/>
              </w:rPr>
              <w:t>。</w:t>
            </w:r>
          </w:p>
          <w:p>
            <w:pPr>
              <w:spacing w:line="420" w:lineRule="exact"/>
            </w:pPr>
            <w:r>
              <w:rPr>
                <w:rFonts w:hint="eastAsia"/>
              </w:rPr>
              <w:t>（二）采购</w:t>
            </w:r>
            <w:r>
              <w:rPr>
                <w:rFonts w:hint="eastAsia"/>
                <w:lang w:eastAsia="zh-CN"/>
              </w:rPr>
              <w:t>人</w:t>
            </w:r>
            <w:r>
              <w:rPr>
                <w:rFonts w:hint="eastAsia"/>
              </w:rPr>
              <w:t>付款前需收到开具正规发票。</w:t>
            </w:r>
          </w:p>
          <w:p>
            <w:pPr>
              <w:spacing w:line="420" w:lineRule="exact"/>
            </w:pPr>
            <w:r>
              <w:rPr>
                <w:rFonts w:hint="eastAsia"/>
              </w:rPr>
              <w:t>六、验收标准：</w:t>
            </w:r>
          </w:p>
          <w:p>
            <w:pPr>
              <w:spacing w:line="420" w:lineRule="exact"/>
            </w:pPr>
            <w:r>
              <w:rPr>
                <w:rFonts w:hint="eastAsia"/>
              </w:rPr>
              <w:t>（一）本项目完成后供应商可向采购人提出申请验收。</w:t>
            </w:r>
          </w:p>
          <w:p>
            <w:pPr>
              <w:spacing w:line="420" w:lineRule="exact"/>
            </w:pPr>
            <w:r>
              <w:rPr>
                <w:rFonts w:hint="eastAsia"/>
              </w:rPr>
              <w:t>（二）采购人将组织验收小组对供应商的服务情况进行验收，验收着重考察供应商所提供的服务是否满足本项目服务要求，验收完成后验收小组将出具验收报告。</w:t>
            </w:r>
          </w:p>
          <w:p>
            <w:pPr>
              <w:spacing w:line="420" w:lineRule="exact"/>
              <w:rPr>
                <w:rFonts w:hint="eastAsia" w:ascii="宋体" w:hAnsi="宋体"/>
                <w:color w:val="FF0000"/>
                <w:szCs w:val="21"/>
                <w:lang w:eastAsia="zh-CN"/>
              </w:rPr>
            </w:pPr>
            <w:r>
              <w:rPr>
                <w:rFonts w:hint="eastAsia"/>
              </w:rPr>
              <w:t>（三）首次验收不合格的，可由供应商在收到验收报告之日起5个工作日内申请重新验收，若重新验收不合格的，则将被视为违约。</w:t>
            </w:r>
          </w:p>
        </w:tc>
      </w:tr>
    </w:tbl>
    <w:p>
      <w:pPr>
        <w:pStyle w:val="5"/>
        <w:ind w:firstLine="210" w:firstLineChars="100"/>
        <w:rPr>
          <w:rFonts w:asciiTheme="minorEastAsia" w:hAnsiTheme="minorEastAsia" w:cstheme="minorEastAsia"/>
          <w:szCs w:val="21"/>
        </w:rPr>
      </w:pPr>
    </w:p>
    <w:p>
      <w:pPr>
        <w:pStyle w:val="4"/>
      </w:pPr>
    </w:p>
    <w:p>
      <w:pPr>
        <w:pStyle w:val="4"/>
      </w:pPr>
    </w:p>
    <w:p>
      <w:pPr>
        <w:pStyle w:val="4"/>
      </w:pPr>
    </w:p>
    <w:p>
      <w:pPr>
        <w:pStyle w:val="4"/>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FE43E"/>
    <w:multiLevelType w:val="singleLevel"/>
    <w:tmpl w:val="888FE43E"/>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336756E4"/>
    <w:multiLevelType w:val="singleLevel"/>
    <w:tmpl w:val="336756E4"/>
    <w:lvl w:ilvl="0" w:tentative="0">
      <w:start w:val="6"/>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391503"/>
    <w:rsid w:val="12391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3">
    <w:name w:val="heading 6"/>
    <w:basedOn w:val="1"/>
    <w:next w:val="1"/>
    <w:qFormat/>
    <w:uiPriority w:val="99"/>
    <w:pPr>
      <w:ind w:left="691"/>
      <w:outlineLvl w:val="5"/>
    </w:pPr>
    <w:rPr>
      <w:szCs w:val="24"/>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0"/>
    <w:pPr>
      <w:spacing w:after="120"/>
    </w:pPr>
    <w:rPr>
      <w:rFonts w:ascii="Times New Roman" w:hAnsi="Times New Roman"/>
    </w:rPr>
  </w:style>
  <w:style w:type="paragraph" w:styleId="5">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2021-05-10T08:24:00Z</dcterms:created>
  <dc:creator>WPS</dc:creator>
  <cp:lastModifiedBy>WPS</cp:lastModifiedBy>
  <dcterms:modified xsi:type="dcterms:W3CDTF">2021-05-10T08:33:40Z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8BDA2518629F40229B7F9495D90EF11F</vt:lpwstr>
  </property>
</Properties>
</file>