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hint="eastAsia"/>
          <w:b/>
          <w:sz w:val="32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2"/>
        <w:numPr>
          <w:ilvl w:val="3"/>
          <w:numId w:val="0"/>
        </w:numPr>
        <w:ind w:left="1077" w:leftChars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报价表</w:t>
      </w:r>
    </w:p>
    <w:p>
      <w:pPr>
        <w:adjustRightInd w:val="0"/>
        <w:spacing w:line="56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南宁中心血站采供血事业宣传栏</w:t>
      </w:r>
      <w:r>
        <w:rPr>
          <w:rFonts w:hint="eastAsia"/>
          <w:b/>
          <w:sz w:val="24"/>
          <w:lang w:eastAsia="zh-CN"/>
        </w:rPr>
        <w:t>建设</w:t>
      </w:r>
      <w:r>
        <w:rPr>
          <w:rFonts w:hint="eastAsia"/>
          <w:b/>
          <w:sz w:val="24"/>
        </w:rPr>
        <w:t>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贵方本次采购内容和商务要求，参与该项目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10105" w:type="dxa"/>
        <w:tblInd w:w="-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59"/>
        <w:gridCol w:w="3655"/>
        <w:gridCol w:w="873"/>
        <w:gridCol w:w="1104"/>
        <w:gridCol w:w="1541"/>
        <w:gridCol w:w="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709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1459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项目名称</w:t>
            </w:r>
          </w:p>
        </w:tc>
        <w:tc>
          <w:tcPr>
            <w:tcW w:w="3655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873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104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41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764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709" w:type="dxa"/>
            <w:vAlign w:val="center"/>
          </w:tcPr>
          <w:p>
            <w:pPr>
              <w:pStyle w:val="4"/>
              <w:spacing w:line="560" w:lineRule="exact"/>
              <w:ind w:firstLine="210" w:firstLineChars="100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459" w:type="dxa"/>
            <w:vAlign w:val="center"/>
          </w:tcPr>
          <w:p>
            <w:pPr>
              <w:pStyle w:val="3"/>
              <w:spacing w:line="520" w:lineRule="exact"/>
              <w:outlineLvl w:val="0"/>
              <w:rPr>
                <w:rFonts w:ascii="仿宋_GB2312" w:hAnsi="宋体" w:eastAsia="仿宋_GB2312" w:cs="仿宋_GB2312"/>
                <w:color w:val="000000"/>
                <w:spacing w:val="15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</w:rPr>
              <w:t>南宁中心血站采供血事业宣传栏</w:t>
            </w:r>
            <w:r>
              <w:rPr>
                <w:rFonts w:hint="eastAsia" w:ascii="宋体" w:hAnsi="宋体"/>
                <w:szCs w:val="21"/>
                <w:lang w:eastAsia="zh-CN"/>
              </w:rPr>
              <w:t>建设</w:t>
            </w:r>
            <w:r>
              <w:rPr>
                <w:rFonts w:hint="eastAsia" w:ascii="宋体" w:hAnsi="宋体"/>
                <w:szCs w:val="21"/>
              </w:rPr>
              <w:t>服务</w:t>
            </w:r>
          </w:p>
        </w:tc>
        <w:tc>
          <w:tcPr>
            <w:tcW w:w="3655" w:type="dxa"/>
            <w:vAlign w:val="top"/>
          </w:tcPr>
          <w:p>
            <w:pPr>
              <w:pStyle w:val="3"/>
              <w:numPr>
                <w:ilvl w:val="0"/>
                <w:numId w:val="0"/>
              </w:numPr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  <w:lang w:eastAsia="zh-CN"/>
              </w:rPr>
              <w:t>一、</w:t>
            </w:r>
            <w:r>
              <w:rPr>
                <w:rFonts w:hint="eastAsia"/>
                <w:b/>
                <w:bCs/>
              </w:rPr>
              <w:t>项目需求</w:t>
            </w:r>
          </w:p>
          <w:p>
            <w:pPr>
              <w:pStyle w:val="3"/>
              <w:jc w:val="left"/>
            </w:pPr>
            <w:r>
              <w:rPr>
                <w:rFonts w:hint="eastAsia"/>
              </w:rPr>
              <w:t>本次采购南宁中心血站采供血事业宣传栏</w:t>
            </w:r>
            <w:r>
              <w:rPr>
                <w:rFonts w:hint="eastAsia"/>
                <w:lang w:eastAsia="zh-CN"/>
              </w:rPr>
              <w:t>建设</w:t>
            </w:r>
            <w:r>
              <w:rPr>
                <w:rFonts w:hint="eastAsia"/>
              </w:rPr>
              <w:t>服务要求。</w:t>
            </w:r>
          </w:p>
          <w:p>
            <w:pPr>
              <w:pStyle w:val="3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（一）总体设计要求：</w:t>
            </w:r>
          </w:p>
          <w:p>
            <w:pPr>
              <w:pStyle w:val="3"/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实地考察现场及周边环境，以采血之星形象和先进人物风采为主要内容，根据南宁中心血站文化特征进行形象的设计；</w:t>
            </w:r>
          </w:p>
          <w:p>
            <w:pPr>
              <w:pStyle w:val="3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  <w:lang w:eastAsia="zh-CN"/>
              </w:rPr>
              <w:t>整体造型灵动，采血之星与先进人物采用不同的形状突出其差异性和独特性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lang w:eastAsia="zh-CN"/>
              </w:rPr>
              <w:t>同时以高低不同的位置错落摆放，突出整体造型的空间感。</w:t>
            </w:r>
          </w:p>
          <w:p>
            <w:pPr>
              <w:pStyle w:val="3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3、</w:t>
            </w:r>
            <w:r>
              <w:rPr>
                <w:rFonts w:hint="eastAsia"/>
                <w:lang w:eastAsia="zh-CN"/>
              </w:rPr>
              <w:t>画框可随宣传画面多少进行拆卸安装。</w:t>
            </w:r>
          </w:p>
          <w:p>
            <w:pPr>
              <w:pStyle w:val="3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（二）采供血事业宣传栏建设服务</w:t>
            </w:r>
          </w:p>
          <w:p>
            <w:pPr>
              <w:pStyle w:val="3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eastAsia="zh-CN"/>
              </w:rPr>
              <w:t>、灵动</w:t>
            </w:r>
            <w:r>
              <w:rPr>
                <w:rFonts w:hint="eastAsia"/>
              </w:rPr>
              <w:t>性--</w:t>
            </w:r>
            <w:r>
              <w:rPr>
                <w:rFonts w:hint="eastAsia"/>
                <w:lang w:eastAsia="zh-CN"/>
              </w:rPr>
              <w:t>以相似的造型元素，不同的形状和高低错落的位置，突出采血之星和先进人物的差异性和空间感，使造型形成独特又统一的整体。</w:t>
            </w:r>
          </w:p>
          <w:p>
            <w:pPr>
              <w:pStyle w:val="3"/>
              <w:jc w:val="left"/>
              <w:rPr>
                <w:color w:val="auto"/>
                <w:highlight w:val="none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  <w:lang w:eastAsia="zh-CN"/>
              </w:rPr>
              <w:t>艺术</w:t>
            </w:r>
            <w:r>
              <w:rPr>
                <w:rFonts w:hint="eastAsia"/>
              </w:rPr>
              <w:t>性--根据</w:t>
            </w:r>
            <w:r>
              <w:rPr>
                <w:rFonts w:hint="eastAsia"/>
                <w:lang w:eastAsia="zh-CN"/>
              </w:rPr>
              <w:t>花圃后墙的宣传标语，色彩上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采用金色、黄色，体现单位浑厚的文化底蕴。</w:t>
            </w:r>
            <w:r>
              <w:rPr>
                <w:rFonts w:hint="eastAsia"/>
                <w:color w:val="auto"/>
                <w:highlight w:val="none"/>
              </w:rPr>
              <w:t xml:space="preserve">                                  </w:t>
            </w:r>
          </w:p>
          <w:p>
            <w:pPr>
              <w:pStyle w:val="3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color w:val="auto"/>
                <w:highlight w:val="none"/>
              </w:rPr>
              <w:t>耐用性--所用材料经久耐用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（要求宣传栏主体部分采用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镀锌板制作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）</w:t>
            </w:r>
            <w:r>
              <w:rPr>
                <w:rFonts w:hint="eastAsia"/>
                <w:color w:val="auto"/>
                <w:highlight w:val="none"/>
              </w:rPr>
              <w:t>，易于后期维护。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4、根据采购人确认的设计方案及材料要求进行宣传栏的制作、施工及安装。</w:t>
            </w:r>
          </w:p>
          <w:p>
            <w:pPr>
              <w:pStyle w:val="3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二、其他需求</w:t>
            </w:r>
          </w:p>
          <w:p>
            <w:pPr>
              <w:pStyle w:val="3"/>
              <w:jc w:val="left"/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auto"/>
                <w:lang w:val="en-US" w:eastAsia="zh-CN"/>
              </w:rPr>
              <w:t>1、成交供应商需指定专门人员与采购人对接本采购项目一切事宜，对于采购人提出的设计及实施意见应该无条件配合进行修改，不能采纳的应该做出书面说明并得到采购人的认同。</w:t>
            </w:r>
          </w:p>
        </w:tc>
        <w:tc>
          <w:tcPr>
            <w:tcW w:w="87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1104" w:type="dxa"/>
            <w:vAlign w:val="center"/>
          </w:tcPr>
          <w:p>
            <w:pPr>
              <w:pStyle w:val="2"/>
              <w:numPr>
                <w:ilvl w:val="3"/>
                <w:numId w:val="0"/>
              </w:numPr>
              <w:jc w:val="center"/>
              <w:outlineLvl w:val="3"/>
            </w:pPr>
          </w:p>
        </w:tc>
        <w:tc>
          <w:tcPr>
            <w:tcW w:w="1541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>
            <w:pPr>
              <w:pStyle w:val="4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0105" w:type="dxa"/>
            <w:gridSpan w:val="7"/>
            <w:vAlign w:val="center"/>
          </w:tcPr>
          <w:p>
            <w:pPr>
              <w:pStyle w:val="4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spacing w:line="560" w:lineRule="exact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5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6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56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注：表格内容均需按要求填写并盖章，不得留空，否则按无效处理。</w:t>
      </w: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bookmarkStart w:id="0" w:name="_GoBack"/>
      <w:bookmarkEnd w:id="0"/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21CBA"/>
    <w:rsid w:val="14321CBA"/>
    <w:rsid w:val="64E9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2021-06-02T00:54:00Z</dcterms:created>
  <dc:creator>WPS</dc:creator>
  <cp:lastModifiedBy>WPS</cp:lastModifiedBy>
  <dcterms:modified xsi:type="dcterms:W3CDTF">2021-06-02T01:33:41Z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7ACA2E4F18744CA89170E06F2D35AC12</vt:lpwstr>
  </property>
</Properties>
</file>