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2"/>
        <w:numPr>
          <w:ilvl w:val="3"/>
          <w:numId w:val="0"/>
        </w:numPr>
        <w:ind w:left="1077" w:leftChars="0" w:firstLine="2240" w:firstLineChars="700"/>
        <w:jc w:val="both"/>
        <w:rPr>
          <w:rFonts w:hint="eastAsia"/>
          <w:sz w:val="32"/>
          <w:szCs w:val="32"/>
          <w:lang w:eastAsia="zh-CN"/>
        </w:rPr>
      </w:pPr>
      <w:bookmarkStart w:id="2" w:name="_GoBack"/>
      <w:r>
        <w:rPr>
          <w:rFonts w:hint="eastAsia"/>
          <w:sz w:val="32"/>
          <w:szCs w:val="32"/>
          <w:lang w:eastAsia="zh-CN"/>
        </w:rPr>
        <w:t>响应技术资料表</w:t>
      </w:r>
    </w:p>
    <w:bookmarkEnd w:id="2"/>
    <w:p>
      <w:pPr>
        <w:pStyle w:val="6"/>
        <w:ind w:firstLine="210" w:firstLineChars="100"/>
        <w:rPr>
          <w:rFonts w:hAnsi="宋体"/>
        </w:rPr>
      </w:pPr>
    </w:p>
    <w:p>
      <w:pPr>
        <w:pStyle w:val="6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6"/>
        <w:rPr>
          <w:rFonts w:hAnsi="宋体"/>
          <w:szCs w:val="21"/>
        </w:rPr>
      </w:pPr>
    </w:p>
    <w:p>
      <w:pPr>
        <w:pStyle w:val="6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8"/>
        <w:tblW w:w="10824" w:type="dxa"/>
        <w:tblInd w:w="-6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921"/>
        <w:gridCol w:w="3506"/>
        <w:gridCol w:w="1065"/>
        <w:gridCol w:w="3416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485" w:type="dxa"/>
            <w:vMerge w:val="restart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427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48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485" w:type="dxa"/>
            <w:vMerge w:val="continue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技术参数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响应技术参数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物联网远程报警主机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1、联网通道：GPRS，报警极速传速，实时在线，网络被破坏或故障一目了然。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2、GPRS频率：全球通用，850/900/1800/1900MHz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3、GPRS认证：CE/ CCC/ SRRC/ NAL/ FCC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4、人工智能：支持，与您人机语音对话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5、有线防区：8个（常开/常闭/线尾电阻自定义）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5、无线防区：99个（315/433MHz可选）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6、无线编码：2262/1527/BTRF，还可定制更多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7、无线距离：≥100m(空旷地)，可选ROLA模块(3-5Km)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8、短信/拨号：支持5个号码（需SIM卡支持或通过中心拨号设备进行）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9、双向语音对讲：GSM全双工对讲（需SIM卡支持或通过中心拨号设备进行）GPRS半双工对讲(如同对讲机一样的功能)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10、消侧音：相位抵消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11、拾音器：内置前置放大电路，不需要适配器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12、远程监听：支持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13、远程喊话：支持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14、喇叭： 8Ω/2W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15、广播：支持中心下发语音广播功能，如安全宣传、天气等内容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16、警号：内报≥110db高响度警号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17、警号时间：默认60秒，支持定义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18、电源带载能力：1A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19、UPS：最大支持7Ah/12V，掉电可供本系统运行72小时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20、欠压上报：欠压上报/欠压恢复上报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21、交流上报：断电/断电恢复上报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22、联动输出：常开/常闭，输出时间自由设定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23、联动方式：默认报警输出，支持布防/撤防/报警自定义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24、联动时间：默认报警输出60秒，支持自定义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25、定时布撤防：支持32组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26、远程布撤防：微信远程操作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27、图形化操作：手机全图标操作提示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28、旁路：每个防区可独立设置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29、布/撤防：每个防区可独立操作，防区类型：防盗/火警/煤气/漏水/漏电/迎宾/门铃/紧急/求助/巡更/自定义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30、防区自检：支持，无线防区可知道探器欠压/脱机等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31、报警点导航：支持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32、(APP)微信设置/接警：支持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33、OTA升级：支持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34、语音留言：支持普通话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35、接警端：手机/PC电话(适用于联网运营)</w:t>
            </w:r>
          </w:p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 w:asciiTheme="minorHAnsi" w:hAnsiTheme="minorHAnsi" w:eastAsiaTheme="minorEastAsia" w:cstheme="minorBidi"/>
                <w:b w:val="0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36、</w:t>
            </w:r>
            <w:r>
              <w:rPr>
                <w:rFonts w:hint="eastAsia" w:cstheme="minorBidi"/>
                <w:b w:val="0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提供产品第三方检测报告复印件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请填入贵单位响应的内容。</w:t>
            </w:r>
          </w:p>
          <w:p>
            <w:pPr>
              <w:pStyle w:val="7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eastAsia" w:hAnsi="宋体" w:eastAsiaTheme="minorEastAsia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烟感探测报警器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1、工作电源：①AC220V (9V后备电池）（AC型），②9V 电池（一节6F22)(DC型）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2、静态电流：＜10uA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3、报警电流：《35mA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4、烟雾灵敏度：2.06%/ft±1.3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5、报警温度：54℃~65℃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6、报警指示：红色LED闪烁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7、报警声压：85dB/3m处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8、无线发射频率：315MHz/433MHz(无线型）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9、编码方式：2262编码（无线型）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10、发射距离：200米（空旷距离）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11、工作温度：－10℃~+50℃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12、用对湿度：≤95% RH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13、型尺寸：Φ128*38mm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14、执行标准：GB4715、GB4716、En14604、UL217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15、覆盖区域：当空间高度为6米－12米，一个探测器的保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护面积对一般保护现场而言为80平方米；空间高度为6米以下时，保护面积为60平方米。具体参数应以火灾自动报警系统设计规范 GB50116-98 为准。</w:t>
            </w:r>
          </w:p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 w:asciiTheme="minorHAnsi" w:hAnsiTheme="minorHAnsi" w:eastAsiaTheme="minorEastAsia" w:cstheme="minorBidi"/>
                <w:b w:val="0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16、</w:t>
            </w:r>
            <w:r>
              <w:rPr>
                <w:rFonts w:hint="eastAsia" w:cstheme="minorBidi"/>
                <w:b w:val="0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提供产品第三方检测报告复印件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红外探测器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1、电源：DC 3V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2、内部电池：2节“AA”5号电池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3、待机电流：≤50uA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4、报警电流：≤20mA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5、探测范围：距离7-15米角度110%(水平）x26°(垂直）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6、无线距离：2300米（开阔地／无干扰）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7、无线发射频率：315MHz或433MHz±75KHz(可选）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8、外壳材料：ABS塑料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9、使用湿度≤80%(无凝结）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10、工作温度：－30度至＋50度（在36度以上时探头监视距离可能,缩短）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11、提供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产品3C认证证书复印件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漏水探测报警器</w:t>
            </w:r>
          </w:p>
        </w:tc>
        <w:tc>
          <w:tcPr>
            <w:tcW w:w="3506" w:type="dxa"/>
            <w:vAlign w:val="top"/>
          </w:tcPr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漏水探测报警器由漏水控制器、漏水感应线缆、漏水线接头组成。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12-24V直流电源供电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3、感应灵敏度无极可调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4、漏水控制器适合与I漏水感应线缆、点式传感器及常开干式触继电器输出形式常开常闭同时共存，可自由选择支持各种通信协议，自动进行协议选择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5、检测线缆长度，最大可接线缆长度为500米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6、塑料外壳白色PVC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7、精准度100％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8、串行接口网络配置RS-485双线网络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9、通信协议MODBUS IM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10、继电器输出常开常闭可选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11、电源要求12-24V直流，3W</w:t>
            </w:r>
          </w:p>
          <w:p>
            <w:pPr>
              <w:widowControl/>
              <w:ind w:firstLine="420" w:firstLineChars="20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额定容量AC250V， 3A， DC30V， 3A.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12、存储温度-40℃至60℃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13、工作环境-20℃至50℃，湿度5％至90％（无冷凝）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14、能连接物联网报警主机</w:t>
            </w:r>
          </w:p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15、提供第三方关于产品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不定位漏水控制器检验报告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漏水探测线缆</w:t>
            </w:r>
          </w:p>
        </w:tc>
        <w:tc>
          <w:tcPr>
            <w:tcW w:w="3506" w:type="dxa"/>
            <w:vAlign w:val="top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1、材料：导电聚乙烯+合金导线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2、质量：30克/米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3、颜色：橙色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4、线缆直径：5.5mm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5、检测芯电阻：3欧姆/100米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6、最大暴露温度：75摄氏度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7、与漏水探测报警器一起使用，能连接物联网报警主机。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8、提供第三方漏水探测线缆检验报告复印件</w:t>
            </w:r>
          </w:p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彩屏人脸指纹门禁机</w:t>
            </w:r>
          </w:p>
        </w:tc>
        <w:tc>
          <w:tcPr>
            <w:tcW w:w="3506" w:type="dxa"/>
            <w:vAlign w:val="top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1、2.8彩屏,中文显示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2、开门超时、非法开门、防拆、胁迫报警,实时通讯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3、可人脸、指纹和刷卡、密码开门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4、TCP/IP通讯，500张人脸、5000枚指纹，20万条数据储存量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 w:asciiTheme="minorEastAsia" w:hAnsi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5、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提供第三方漏水探测线缆检验报告复印件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磁力锁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通电上锁、断电开锁，适用于180 开的玻璃门、木门、铁门，内开门或外开门。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门禁控制板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1、工作电源：5VDC/500mA，12VDC/3A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2、工作环境：温度：-25℃--80℃，湿度0-90%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3、管理门数：2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4、可接读卡器数量：8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5、输入读卡器通讯格式：Wiegand 26-40 bit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6、可存储注册卡：2万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7、可存储记录数：10万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8、通讯方式：TCP/IP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出门按钮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库内开门按钮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防紫外线灯管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昼白色40W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灯珊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可安装2条防紫外线灯管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除湿机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1、除湿量：58L/天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2、电源：220V 50HZ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3、最大功率：980W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4、微电脑显示湿度，且可在30%-95%RH任意设定，适用面积40-60平米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5、提供产品中国国家强制性产品认证证书、第三方检测报告复印件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13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温湿度自动记录仪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1、配套温湿度管理软件与温湿度自动记录仪组成温湿度管理系统。2、每天4次记录实时温湿度数据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3、可设置温度上、下限值，超限灯光报警。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 接口方式：RS232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 供电方式: 5V  功率:1W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6、提供产品的校准证书及第三方检测报告复印件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14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手提式七氟丙烷气体灭火器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1、七氟丙烷灭火剂：无色、无味、不导电、无二次污染的洁净惰性气体，具有清洁、低毒、电绝缘性好，灭火效率高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2、灭火剂3kg装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3、提供消防产品认证证书、七氟丙烷灭火剂第三方检测报告复印件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甲级防火门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1、钢质甲级防火门，规格为2050*960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2、门框钢板厚度1.2mm，门扇钢板厚度1.0mm，门扇厚度为70mm，门扇填充防火岩棉厚度是60mm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3、甲级防火门耐火时间为1.5小时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4、外右开2樘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5、提供甲级防火门的消防产品认证证书、第三方检测报告复印件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玻璃展示柜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1、规格长5500*高2200*深600，采用钛合金框架结构，中间玻璃部分的背面是镜子，底座30cm，上楣高30cm，内嵌8mm三聚氰胺双饰面板，防潮经久耐用。</w:t>
            </w:r>
          </w:p>
          <w:p>
            <w:pPr>
              <w:widowControl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2、中间展示部位高180cm，玻璃层板8mm钢化玻璃活动隔板，玻璃双开门带锁，除后背镜子外全钢化玻璃。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3、奖牌展示区域4层斜面展示，奖杯区域三层，印章锦旗区域九层。4、每个格顶部安装射灯一盏，现场安装。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17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遮光阻燃窗帘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1、遮光阻燃窗帘：双层一体窗帘布料采用单面有光混纺布， 材质：30%棉、55%麻、15%涤纶遮，宽幅2.8米，经纤维均匀，产品的米重达1200g。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2、产品的甲醛含量完全符合GB18401-2003C类产品技术要求，产品阻燃性能符合GB/T17591-2006《阻燃织物》装饰用类织物B1级（难燃级）的技术要求。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3、具有遮光、阻燃、吸音、隔热、防紫外线、防尘、防潮、防悬垂性好、无毒、不褪色、不缩水等特点，遮光率：达到95％以上，可机洗。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4、符合档案部门遮光阻燃窗帘的配置要求。含配件白布带、道轨、包边，布料颜色任选。</w:t>
            </w:r>
          </w:p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5、提供阻燃窗帘的阻燃、PH值、甲醛含量、色牢固度第三方合格检测报告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18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网络高清硬盘录像机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1、支持60M/80M接入带宽，支持H.265摄像机接入，最大支持接入5MP摄像机，支持2SATA，支持HDMI接口4K输出。</w:t>
            </w:r>
          </w:p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2、设备默认自带8/16/16个POE网口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19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液晶显示器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1、23 英寸 高清电脑显示器IPS窄边框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20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录像专用硬盘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1、容量：4TB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2、外形尺寸：3.5 英寸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3、高级格式化 (AF)：是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4、RoHS 符合性：是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5、数据最大传输速率（缓冲区到主机）：6 Gb/s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6、数据最大传输速率（主机至/自硬盘持续）：150 MB/s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7、高速缓存 (MB)：64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8、转速 (RPM)：IntelliPower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9、加载/卸载周期：300,000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10、不可恢复性读取错误（占读取位数）：小于1/10^14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11、平均功率需求 (W)（读取/写入）：5.1</w:t>
            </w:r>
          </w:p>
          <w:p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12、平均功率需求 (W)（空闲）：4.5</w:t>
            </w:r>
          </w:p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13、平均功率需求 (W)（待机和睡眠）：0.4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红外彩色摄像机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1、400万CMOS筒型网络摄像机，全彩补光，支持Smart H.265编码，星光级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 xml:space="preserve">2、Smart 报警：支持越界侦测，区域入侵侦测。   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 xml:space="preserve">3、支持 3D 数字降噪，支持 120dB 宽动态。 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 xml:space="preserve">4、支持双码流，支持手机监控 , 支持萤石云平台接入。 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 xml:space="preserve">5、符合 IP67 级防尘防水设计，可靠性高。 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 xml:space="preserve">6、支持 Micro SD/ SDHC/ SDXC 卡(128G)本地存储。 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7、支持暖光灯补光，照射距离最远可达 30 m。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22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摄像机支架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1、与摄像机型号匹配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23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网络交换机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1、千兆上联以太网PoE交换机，8个百兆端口支持PoE+供电，符合IEEE 802.3af/at标准，单端口PoE功率可达30W，整机最大PoE输出功率为124W。作为PoE供电设备，能自动检测识别符合标准的受电设备并通过网线为其供电。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2、提供8个10/100 Base-T RJ45端口，2个10/100/1000 Base-TRJ45端口和1个独立千兆SFP端口。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3、所有端口支持无阻塞线速转发，传输更流畅。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4、支持IEEE 802.3x全双工流控和Backpressure半双工流控。</w:t>
            </w:r>
            <w:r>
              <w:rPr>
                <w:rFonts w:hint="eastAsia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5、PoE供电功能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6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24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辅材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spacing w:line="240" w:lineRule="exact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货物安装所用到通讯线、电源线、线管及配件。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6"/>
        <w:rPr>
          <w:rFonts w:hAnsi="宋体"/>
          <w:sz w:val="16"/>
          <w:szCs w:val="16"/>
        </w:rPr>
      </w:pPr>
      <w:r>
        <w:rPr>
          <w:rFonts w:hint="eastAsia" w:hAnsi="宋体"/>
          <w:sz w:val="16"/>
          <w:szCs w:val="16"/>
          <w:u w:val="single"/>
        </w:rPr>
        <w:t>　　</w:t>
      </w:r>
      <w:r>
        <w:rPr>
          <w:rFonts w:hint="eastAsia" w:hAnsi="宋体"/>
          <w:sz w:val="16"/>
          <w:szCs w:val="16"/>
        </w:rPr>
        <w:t>分项（有分项时填写）</w:t>
      </w:r>
    </w:p>
    <w:p>
      <w:pPr>
        <w:pStyle w:val="6"/>
        <w:rPr>
          <w:rFonts w:hAnsi="宋体"/>
          <w:sz w:val="16"/>
          <w:szCs w:val="16"/>
        </w:rPr>
      </w:pPr>
      <w:r>
        <w:rPr>
          <w:rFonts w:hAnsi="宋体"/>
          <w:sz w:val="16"/>
          <w:szCs w:val="16"/>
        </w:rPr>
        <w:t>......</w:t>
      </w:r>
    </w:p>
    <w:p>
      <w:pPr>
        <w:pStyle w:val="6"/>
        <w:spacing w:line="400" w:lineRule="exact"/>
        <w:rPr>
          <w:rFonts w:hAnsi="宋体"/>
          <w:sz w:val="16"/>
          <w:szCs w:val="16"/>
        </w:rPr>
      </w:pPr>
      <w:r>
        <w:rPr>
          <w:rFonts w:hAnsi="宋体"/>
          <w:sz w:val="16"/>
          <w:szCs w:val="16"/>
        </w:rPr>
        <w:t>注：⑴表格内容均需按要求填写并盖章，不得留空，</w:t>
      </w:r>
      <w:r>
        <w:rPr>
          <w:rFonts w:hAnsi="宋体"/>
          <w:bCs/>
          <w:sz w:val="16"/>
          <w:szCs w:val="16"/>
        </w:rPr>
        <w:t>否则按无效</w:t>
      </w:r>
      <w:r>
        <w:rPr>
          <w:rFonts w:hint="eastAsia" w:hAnsi="宋体"/>
          <w:bCs/>
          <w:sz w:val="16"/>
          <w:szCs w:val="16"/>
        </w:rPr>
        <w:t>响应</w:t>
      </w:r>
      <w:r>
        <w:rPr>
          <w:rFonts w:hAnsi="宋体"/>
          <w:bCs/>
          <w:sz w:val="16"/>
          <w:szCs w:val="16"/>
        </w:rPr>
        <w:t>处理</w:t>
      </w:r>
      <w:r>
        <w:rPr>
          <w:rFonts w:hAnsi="宋体"/>
          <w:sz w:val="16"/>
          <w:szCs w:val="16"/>
        </w:rPr>
        <w:t>。</w:t>
      </w:r>
    </w:p>
    <w:p>
      <w:pPr>
        <w:pStyle w:val="6"/>
        <w:spacing w:line="400" w:lineRule="exact"/>
        <w:ind w:left="639" w:leftChars="228" w:hanging="160" w:hangingChars="100"/>
        <w:rPr>
          <w:rFonts w:hAnsi="宋体"/>
          <w:sz w:val="16"/>
          <w:szCs w:val="16"/>
        </w:rPr>
      </w:pPr>
      <w:r>
        <w:rPr>
          <w:rFonts w:hAnsi="宋体"/>
          <w:bCs/>
          <w:sz w:val="16"/>
          <w:szCs w:val="16"/>
        </w:rPr>
        <w:t>⑵当</w:t>
      </w:r>
      <w:r>
        <w:rPr>
          <w:rFonts w:hint="eastAsia" w:hAnsi="宋体"/>
          <w:bCs/>
          <w:sz w:val="16"/>
          <w:szCs w:val="16"/>
        </w:rPr>
        <w:t>响应</w:t>
      </w:r>
      <w:r>
        <w:rPr>
          <w:rFonts w:hAnsi="宋体"/>
          <w:bCs/>
          <w:sz w:val="16"/>
          <w:szCs w:val="16"/>
        </w:rPr>
        <w:t>文件的内容低于</w:t>
      </w:r>
      <w:r>
        <w:rPr>
          <w:rFonts w:hint="eastAsia" w:hAnsi="宋体"/>
          <w:bCs/>
          <w:sz w:val="16"/>
          <w:szCs w:val="16"/>
        </w:rPr>
        <w:t>附件1采购</w:t>
      </w:r>
      <w:r>
        <w:rPr>
          <w:rFonts w:hint="eastAsia" w:asciiTheme="minorEastAsia" w:hAnsiTheme="minorEastAsia"/>
          <w:sz w:val="16"/>
          <w:szCs w:val="16"/>
        </w:rPr>
        <w:t>需求一览表”</w:t>
      </w:r>
      <w:r>
        <w:rPr>
          <w:rFonts w:hAnsi="宋体"/>
          <w:bCs/>
          <w:sz w:val="16"/>
          <w:szCs w:val="16"/>
        </w:rPr>
        <w:t>要求时，</w:t>
      </w:r>
      <w:r>
        <w:rPr>
          <w:rFonts w:hint="eastAsia" w:hAnsi="宋体"/>
          <w:bCs/>
          <w:sz w:val="16"/>
          <w:szCs w:val="16"/>
        </w:rPr>
        <w:t>供应商</w:t>
      </w:r>
      <w:r>
        <w:rPr>
          <w:rFonts w:hAnsi="宋体"/>
          <w:bCs/>
          <w:sz w:val="16"/>
          <w:szCs w:val="16"/>
        </w:rPr>
        <w:t>应当如实写明“负偏离”，否则视为虚假</w:t>
      </w:r>
      <w:r>
        <w:rPr>
          <w:rFonts w:hint="eastAsia" w:hAnsi="宋体"/>
          <w:bCs/>
          <w:sz w:val="16"/>
          <w:szCs w:val="16"/>
        </w:rPr>
        <w:t>响应</w:t>
      </w:r>
      <w:r>
        <w:rPr>
          <w:rFonts w:hAnsi="宋体"/>
          <w:bCs/>
          <w:sz w:val="16"/>
          <w:szCs w:val="16"/>
        </w:rPr>
        <w:t>。</w:t>
      </w:r>
    </w:p>
    <w:p>
      <w:pPr>
        <w:pStyle w:val="6"/>
        <w:spacing w:line="400" w:lineRule="exact"/>
        <w:rPr>
          <w:rFonts w:hint="eastAsia" w:hAnsi="宋体"/>
          <w:sz w:val="16"/>
          <w:szCs w:val="16"/>
        </w:rPr>
      </w:pPr>
      <w:r>
        <w:rPr>
          <w:rFonts w:hint="eastAsia" w:hAnsi="宋体"/>
          <w:sz w:val="16"/>
          <w:szCs w:val="16"/>
          <w:lang w:eastAsia="zh-CN"/>
        </w:rPr>
        <w:t>供应商</w:t>
      </w:r>
      <w:r>
        <w:rPr>
          <w:rFonts w:hint="eastAsia" w:hAnsi="宋体"/>
          <w:sz w:val="16"/>
          <w:szCs w:val="16"/>
        </w:rPr>
        <w:t>（盖单位公章）：</w:t>
      </w:r>
      <w:bookmarkStart w:id="0" w:name="_Toc460253713"/>
      <w:bookmarkStart w:id="1" w:name="_Toc521096352"/>
    </w:p>
    <w:p>
      <w:pPr>
        <w:pStyle w:val="6"/>
        <w:spacing w:line="400" w:lineRule="exact"/>
        <w:rPr>
          <w:rFonts w:hAnsi="宋体"/>
          <w:sz w:val="16"/>
          <w:szCs w:val="16"/>
        </w:rPr>
      </w:pPr>
      <w:r>
        <w:rPr>
          <w:rFonts w:hint="eastAsia" w:hAnsi="宋体"/>
          <w:sz w:val="16"/>
          <w:szCs w:val="16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1863C7"/>
    <w:multiLevelType w:val="singleLevel"/>
    <w:tmpl w:val="C21863C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7742A"/>
    <w:rsid w:val="6B67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next w:val="5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6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7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2021-06-16T02:51:00Z</dcterms:created>
  <dc:creator>WPS</dc:creator>
  <cp:lastModifiedBy>WPS</cp:lastModifiedBy>
  <dcterms:modified xsi:type="dcterms:W3CDTF">2021-06-16T02:52:49Z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241B02C5EDC44757A4F7E7173832BFE1</vt:lpwstr>
  </property>
</Properties>
</file>