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仿宋" w:hAnsi="仿宋" w:eastAsia="仿宋" w:cs="Times New Roman"/>
          <w:b/>
          <w:bCs/>
          <w:sz w:val="30"/>
          <w:szCs w:val="30"/>
        </w:rPr>
      </w:pPr>
      <w:r>
        <w:rPr>
          <w:rFonts w:hint="eastAsia" w:ascii="仿宋" w:hAnsi="仿宋" w:eastAsia="仿宋" w:cs="Times New Roman"/>
          <w:b/>
          <w:bCs/>
          <w:sz w:val="30"/>
          <w:szCs w:val="30"/>
        </w:rPr>
        <w:t>附件2</w:t>
      </w:r>
    </w:p>
    <w:p>
      <w:pPr>
        <w:spacing w:line="560" w:lineRule="exact"/>
        <w:ind w:firstLine="602" w:firstLineChars="200"/>
        <w:jc w:val="center"/>
        <w:rPr>
          <w:rFonts w:ascii="仿宋" w:hAnsi="仿宋" w:eastAsia="仿宋" w:cs="Times New Roman"/>
          <w:b/>
          <w:bCs/>
          <w:sz w:val="28"/>
          <w:szCs w:val="28"/>
        </w:rPr>
      </w:pPr>
      <w:r>
        <w:rPr>
          <w:rFonts w:hint="eastAsia" w:ascii="仿宋" w:hAnsi="仿宋" w:eastAsia="仿宋" w:cs="Times New Roman"/>
          <w:b/>
          <w:bCs/>
          <w:sz w:val="30"/>
          <w:szCs w:val="30"/>
        </w:rPr>
        <w:t>南宁中心血站采购参数征集表</w:t>
      </w:r>
    </w:p>
    <w:tbl>
      <w:tblPr>
        <w:tblStyle w:val="3"/>
        <w:tblpPr w:leftFromText="180" w:rightFromText="180" w:vertAnchor="text" w:horzAnchor="page" w:tblpX="607" w:tblpY="330"/>
        <w:tblOverlap w:val="never"/>
        <w:tblW w:w="106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97"/>
        <w:gridCol w:w="1937"/>
        <w:gridCol w:w="74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uppressAutoHyphens/>
              <w:spacing w:line="360" w:lineRule="auto"/>
              <w:jc w:val="center"/>
              <w:rPr>
                <w:rFonts w:ascii="宋体" w:hAnsi="宋体" w:cs="Times New Roman"/>
                <w:b/>
                <w:bCs/>
                <w:sz w:val="24"/>
                <w:lang w:eastAsia="ar-SA"/>
              </w:rPr>
            </w:pPr>
            <w:r>
              <w:rPr>
                <w:rFonts w:hint="eastAsia" w:ascii="宋体" w:hAnsi="宋体" w:cs="Times New Roman"/>
                <w:b/>
                <w:bCs/>
                <w:sz w:val="24"/>
              </w:rPr>
              <w:t>货物名称</w:t>
            </w:r>
          </w:p>
        </w:tc>
        <w:tc>
          <w:tcPr>
            <w:tcW w:w="1937" w:type="dxa"/>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宋体" w:hAnsi="宋体" w:cs="Times New Roman"/>
                <w:b/>
                <w:bCs/>
                <w:sz w:val="24"/>
              </w:rPr>
            </w:pPr>
            <w:r>
              <w:rPr>
                <w:rFonts w:hint="eastAsia" w:ascii="宋体" w:hAnsi="宋体" w:cs="Times New Roman"/>
                <w:b/>
                <w:bCs/>
                <w:sz w:val="24"/>
              </w:rPr>
              <w:t>单价（元/单位）</w:t>
            </w:r>
          </w:p>
        </w:tc>
        <w:tc>
          <w:tcPr>
            <w:tcW w:w="7486" w:type="dxa"/>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宋体" w:hAnsi="宋体" w:cs="Times New Roman"/>
                <w:b/>
                <w:bCs/>
                <w:sz w:val="24"/>
              </w:rPr>
            </w:pPr>
            <w:r>
              <w:rPr>
                <w:rFonts w:hint="eastAsia" w:ascii="宋体" w:hAnsi="宋体" w:cs="Times New Roman"/>
                <w:b/>
                <w:bCs/>
                <w:sz w:val="24"/>
              </w:rPr>
              <w:t>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p>
        </w:tc>
        <w:tc>
          <w:tcPr>
            <w:tcW w:w="1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p>
        </w:tc>
        <w:tc>
          <w:tcPr>
            <w:tcW w:w="7486"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bookmarkStart w:id="0" w:name="_GoBack"/>
            <w:bookmarkEnd w:id="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p>
        </w:tc>
        <w:tc>
          <w:tcPr>
            <w:tcW w:w="1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p>
        </w:tc>
        <w:tc>
          <w:tcPr>
            <w:tcW w:w="7486"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p>
        </w:tc>
        <w:tc>
          <w:tcPr>
            <w:tcW w:w="1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p>
        </w:tc>
        <w:tc>
          <w:tcPr>
            <w:tcW w:w="7486"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r>
              <w:rPr>
                <w:rFonts w:hint="eastAsia" w:ascii="仿宋" w:hAnsi="仿宋" w:eastAsia="仿宋" w:cs="Times New Roman"/>
                <w:b/>
                <w:bCs/>
                <w:szCs w:val="21"/>
              </w:rPr>
              <w:t>……</w:t>
            </w:r>
          </w:p>
        </w:tc>
        <w:tc>
          <w:tcPr>
            <w:tcW w:w="1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r>
              <w:rPr>
                <w:rFonts w:hint="eastAsia" w:ascii="仿宋" w:hAnsi="仿宋" w:eastAsia="仿宋" w:cs="Times New Roman"/>
                <w:b/>
                <w:bCs/>
                <w:szCs w:val="21"/>
              </w:rPr>
              <w:t>……</w:t>
            </w:r>
          </w:p>
        </w:tc>
        <w:tc>
          <w:tcPr>
            <w:tcW w:w="7486"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r>
              <w:rPr>
                <w:rFonts w:hint="eastAsia" w:ascii="仿宋" w:hAnsi="仿宋" w:eastAsia="仿宋" w:cs="Times New Roman"/>
                <w:b/>
                <w:bCs/>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1062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2" w:hRule="atLeast"/>
        </w:trPr>
        <w:tc>
          <w:tcPr>
            <w:tcW w:w="119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 w:val="24"/>
              </w:rPr>
            </w:pPr>
            <w:r>
              <w:rPr>
                <w:rFonts w:hint="eastAsia" w:ascii="仿宋" w:hAnsi="仿宋" w:eastAsia="仿宋" w:cs="Times New Roman"/>
                <w:b/>
                <w:bCs/>
                <w:sz w:val="24"/>
              </w:rPr>
              <w:t>商</w:t>
            </w:r>
          </w:p>
          <w:p>
            <w:pPr>
              <w:spacing w:line="560" w:lineRule="exact"/>
              <w:jc w:val="center"/>
              <w:rPr>
                <w:rFonts w:ascii="仿宋" w:hAnsi="仿宋" w:eastAsia="仿宋" w:cs="Times New Roman"/>
                <w:b/>
                <w:bCs/>
                <w:sz w:val="24"/>
              </w:rPr>
            </w:pPr>
            <w:r>
              <w:rPr>
                <w:rFonts w:hint="eastAsia" w:ascii="仿宋" w:hAnsi="仿宋" w:eastAsia="仿宋" w:cs="Times New Roman"/>
                <w:b/>
                <w:bCs/>
                <w:sz w:val="24"/>
              </w:rPr>
              <w:t>务</w:t>
            </w:r>
          </w:p>
          <w:p>
            <w:pPr>
              <w:spacing w:line="560" w:lineRule="exact"/>
              <w:jc w:val="center"/>
              <w:rPr>
                <w:rFonts w:ascii="仿宋" w:hAnsi="仿宋" w:eastAsia="仿宋" w:cs="Times New Roman"/>
                <w:b/>
                <w:bCs/>
                <w:sz w:val="24"/>
              </w:rPr>
            </w:pPr>
            <w:r>
              <w:rPr>
                <w:rFonts w:hint="eastAsia" w:ascii="仿宋" w:hAnsi="仿宋" w:eastAsia="仿宋" w:cs="Times New Roman"/>
                <w:b/>
                <w:bCs/>
                <w:sz w:val="24"/>
              </w:rPr>
              <w:t>条</w:t>
            </w:r>
          </w:p>
          <w:p>
            <w:pPr>
              <w:spacing w:line="560" w:lineRule="exact"/>
              <w:jc w:val="center"/>
              <w:rPr>
                <w:rFonts w:ascii="仿宋" w:hAnsi="仿宋" w:eastAsia="仿宋" w:cs="Times New Roman"/>
                <w:b/>
                <w:bCs/>
                <w:szCs w:val="21"/>
              </w:rPr>
            </w:pPr>
            <w:r>
              <w:rPr>
                <w:rFonts w:hint="eastAsia" w:ascii="仿宋" w:hAnsi="仿宋" w:eastAsia="仿宋" w:cs="Times New Roman"/>
                <w:b/>
                <w:bCs/>
                <w:sz w:val="24"/>
              </w:rPr>
              <w:t>款</w:t>
            </w:r>
          </w:p>
        </w:tc>
        <w:tc>
          <w:tcPr>
            <w:tcW w:w="9423"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p>
        </w:tc>
      </w:tr>
    </w:tbl>
    <w:p>
      <w:pPr>
        <w:spacing w:line="560" w:lineRule="exact"/>
        <w:rPr>
          <w:rFonts w:ascii="仿宋" w:hAnsi="仿宋" w:eastAsia="仿宋" w:cs="Times New Roman"/>
          <w:b/>
          <w:bCs/>
          <w:sz w:val="32"/>
          <w:szCs w:val="32"/>
        </w:rPr>
      </w:pPr>
      <w:r>
        <w:rPr>
          <w:rFonts w:hint="eastAsia" w:ascii="仿宋" w:hAnsi="仿宋" w:eastAsia="仿宋" w:cs="Times New Roman"/>
          <w:b/>
          <w:bCs/>
          <w:sz w:val="32"/>
          <w:szCs w:val="32"/>
        </w:rPr>
        <w:t>参考模板见下一页</w:t>
      </w:r>
    </w:p>
    <w:tbl>
      <w:tblPr>
        <w:tblStyle w:val="3"/>
        <w:tblpPr w:leftFromText="180" w:rightFromText="180" w:vertAnchor="text" w:horzAnchor="page" w:tblpX="607" w:tblpY="330"/>
        <w:tblOverlap w:val="never"/>
        <w:tblW w:w="106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97"/>
        <w:gridCol w:w="1237"/>
        <w:gridCol w:w="81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4"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uppressAutoHyphens/>
              <w:spacing w:line="360" w:lineRule="auto"/>
              <w:jc w:val="center"/>
              <w:rPr>
                <w:rFonts w:ascii="宋体" w:hAnsi="宋体" w:cs="Times New Roman"/>
                <w:b/>
                <w:bCs/>
                <w:sz w:val="24"/>
                <w:lang w:eastAsia="ar-SA"/>
              </w:rPr>
            </w:pPr>
            <w:r>
              <w:rPr>
                <w:rFonts w:hint="eastAsia" w:ascii="宋体" w:hAnsi="宋体" w:cs="Times New Roman"/>
                <w:b/>
                <w:bCs/>
                <w:sz w:val="24"/>
              </w:rPr>
              <w:t>货物名称</w:t>
            </w:r>
          </w:p>
        </w:tc>
        <w:tc>
          <w:tcPr>
            <w:tcW w:w="1237" w:type="dxa"/>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宋体" w:hAnsi="宋体" w:cs="Times New Roman"/>
                <w:b/>
                <w:bCs/>
                <w:sz w:val="24"/>
              </w:rPr>
            </w:pPr>
            <w:r>
              <w:rPr>
                <w:rFonts w:hint="eastAsia" w:ascii="宋体" w:hAnsi="宋体" w:cs="Times New Roman"/>
                <w:b/>
                <w:bCs/>
                <w:sz w:val="24"/>
              </w:rPr>
              <w:t>单价（元/单位）</w:t>
            </w:r>
          </w:p>
        </w:tc>
        <w:tc>
          <w:tcPr>
            <w:tcW w:w="8186" w:type="dxa"/>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宋体" w:hAnsi="宋体" w:cs="Times New Roman"/>
                <w:b/>
                <w:bCs/>
                <w:sz w:val="24"/>
              </w:rPr>
            </w:pPr>
            <w:r>
              <w:rPr>
                <w:rFonts w:hint="eastAsia" w:ascii="宋体" w:hAnsi="宋体" w:cs="Times New Roman"/>
                <w:b/>
                <w:bCs/>
                <w:sz w:val="24"/>
              </w:rPr>
              <w:t>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r>
              <w:rPr>
                <w:rFonts w:ascii="仿宋" w:hAnsi="仿宋" w:eastAsia="仿宋" w:cs="Times New Roman"/>
                <w:b/>
                <w:bCs/>
                <w:szCs w:val="21"/>
              </w:rPr>
              <w:t>高钙牛奶</w:t>
            </w:r>
          </w:p>
        </w:tc>
        <w:tc>
          <w:tcPr>
            <w:tcW w:w="12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r>
              <w:rPr>
                <w:rFonts w:hint="eastAsia" w:ascii="仿宋" w:hAnsi="仿宋" w:eastAsia="仿宋" w:cs="Times New Roman"/>
                <w:b/>
                <w:bCs/>
                <w:szCs w:val="21"/>
              </w:rPr>
              <w:t>30.00元/箱</w:t>
            </w:r>
          </w:p>
        </w:tc>
        <w:tc>
          <w:tcPr>
            <w:tcW w:w="8186" w:type="dxa"/>
            <w:tcBorders>
              <w:top w:val="single" w:color="auto" w:sz="4" w:space="0"/>
              <w:left w:val="single" w:color="auto" w:sz="4" w:space="0"/>
              <w:bottom w:val="single" w:color="auto" w:sz="4" w:space="0"/>
              <w:right w:val="single" w:color="auto" w:sz="4" w:space="0"/>
            </w:tcBorders>
            <w:vAlign w:val="center"/>
          </w:tcPr>
          <w:p>
            <w:pPr>
              <w:spacing w:line="360" w:lineRule="exact"/>
              <w:jc w:val="left"/>
            </w:pPr>
            <w:r>
              <w:t>1</w:t>
            </w:r>
            <w:r>
              <w:rPr>
                <w:rFonts w:hint="eastAsia"/>
              </w:rPr>
              <w:t>.净含量</w:t>
            </w:r>
            <w:r>
              <w:t>/</w:t>
            </w:r>
            <w:r>
              <w:rPr>
                <w:rFonts w:hint="eastAsia"/>
              </w:rPr>
              <w:t>规格：</w:t>
            </w:r>
            <w:r>
              <w:t>200mlx15</w:t>
            </w:r>
            <w:r>
              <w:rPr>
                <w:rFonts w:hint="eastAsia"/>
              </w:rPr>
              <w:t>盒。</w:t>
            </w:r>
          </w:p>
          <w:p>
            <w:pPr>
              <w:spacing w:line="360" w:lineRule="exact"/>
              <w:jc w:val="left"/>
            </w:pPr>
            <w:r>
              <w:rPr>
                <w:rFonts w:hint="eastAsia" w:ascii="宋体" w:hAnsi="宋体"/>
              </w:rPr>
              <w:t>▲</w:t>
            </w:r>
            <w:r>
              <w:t>2</w:t>
            </w:r>
            <w:r>
              <w:rPr>
                <w:rFonts w:hint="eastAsia"/>
              </w:rPr>
              <w:t>.配料：生牛乳、水、碳酸钙、白砂糖等。</w:t>
            </w:r>
            <w:r>
              <w:t xml:space="preserve">                                                                                                                                                                                                </w:t>
            </w:r>
          </w:p>
          <w:p>
            <w:pPr>
              <w:spacing w:line="360" w:lineRule="exact"/>
              <w:jc w:val="left"/>
            </w:pPr>
            <w:r>
              <w:t>3</w:t>
            </w:r>
            <w:r>
              <w:rPr>
                <w:rFonts w:hint="eastAsia"/>
              </w:rPr>
              <w:t>.营养成分要求：</w:t>
            </w:r>
            <w:r>
              <w:t xml:space="preserve"> </w:t>
            </w:r>
          </w:p>
          <w:p>
            <w:pPr>
              <w:spacing w:line="360" w:lineRule="exact"/>
              <w:ind w:firstLine="210" w:firstLineChars="100"/>
              <w:jc w:val="left"/>
            </w:pPr>
            <w:r>
              <w:rPr>
                <w:rFonts w:hint="eastAsia"/>
              </w:rPr>
              <w:t>项目</w:t>
            </w:r>
            <w:r>
              <w:t xml:space="preserve">          </w:t>
            </w:r>
            <w:r>
              <w:rPr>
                <w:rFonts w:hint="eastAsia"/>
              </w:rPr>
              <w:t>每</w:t>
            </w:r>
            <w:r>
              <w:t>100</w:t>
            </w:r>
            <w:r>
              <w:rPr>
                <w:rFonts w:hint="eastAsia"/>
              </w:rPr>
              <w:t>克（</w:t>
            </w:r>
            <w:r>
              <w:t>g</w:t>
            </w:r>
            <w:r>
              <w:rPr>
                <w:rFonts w:hint="eastAsia"/>
              </w:rPr>
              <w:t>）</w:t>
            </w:r>
            <w:r>
              <w:t xml:space="preserve">                                                                                           a</w:t>
            </w:r>
            <w:r>
              <w:rPr>
                <w:rFonts w:hint="eastAsia"/>
              </w:rPr>
              <w:t>、蛋白质</w:t>
            </w:r>
            <w:r>
              <w:t xml:space="preserve">  </w:t>
            </w:r>
            <w:r>
              <w:rPr>
                <w:rFonts w:hint="eastAsia"/>
              </w:rPr>
              <w:t>≥</w:t>
            </w:r>
            <w:r>
              <w:t xml:space="preserve">   2.3</w:t>
            </w:r>
            <w:r>
              <w:rPr>
                <w:rFonts w:hint="eastAsia"/>
              </w:rPr>
              <w:t>克（</w:t>
            </w:r>
            <w:r>
              <w:t>g</w:t>
            </w:r>
            <w:r>
              <w:rPr>
                <w:rFonts w:hint="eastAsia"/>
              </w:rPr>
              <w:t>）</w:t>
            </w:r>
            <w:r>
              <w:t xml:space="preserve">                                                                        b</w:t>
            </w:r>
            <w:r>
              <w:rPr>
                <w:rFonts w:hint="eastAsia"/>
              </w:rPr>
              <w:t>、脂肪</w:t>
            </w:r>
            <w:r>
              <w:t xml:space="preserve">    </w:t>
            </w:r>
            <w:r>
              <w:rPr>
                <w:rFonts w:hint="eastAsia"/>
              </w:rPr>
              <w:t>≥</w:t>
            </w:r>
            <w:r>
              <w:t xml:space="preserve">   2.5</w:t>
            </w:r>
            <w:r>
              <w:rPr>
                <w:rFonts w:hint="eastAsia"/>
              </w:rPr>
              <w:t>克（</w:t>
            </w:r>
            <w:r>
              <w:t>g</w:t>
            </w:r>
            <w:r>
              <w:rPr>
                <w:rFonts w:hint="eastAsia"/>
              </w:rPr>
              <w:t>）</w:t>
            </w:r>
            <w:r>
              <w:t xml:space="preserve">                                                                                                                                                                                                                                                                                                                                                                                                                   </w:t>
            </w:r>
          </w:p>
          <w:p>
            <w:pPr>
              <w:spacing w:line="360" w:lineRule="exact"/>
              <w:jc w:val="left"/>
            </w:pPr>
            <w:r>
              <w:t>c</w:t>
            </w:r>
            <w:r>
              <w:rPr>
                <w:rFonts w:hint="eastAsia"/>
              </w:rPr>
              <w:t>、钙</w:t>
            </w:r>
            <w:r>
              <w:t xml:space="preserve">      </w:t>
            </w:r>
            <w:r>
              <w:rPr>
                <w:rFonts w:hint="eastAsia"/>
              </w:rPr>
              <w:t>≥</w:t>
            </w:r>
            <w:r>
              <w:t xml:space="preserve">    120</w:t>
            </w:r>
            <w:r>
              <w:rPr>
                <w:rFonts w:hint="eastAsia"/>
              </w:rPr>
              <w:t>毫克（</w:t>
            </w:r>
            <w:r>
              <w:t>mg</w:t>
            </w:r>
            <w:r>
              <w:rPr>
                <w:rFonts w:hint="eastAsia"/>
              </w:rPr>
              <w:t>）</w:t>
            </w:r>
            <w:r>
              <w:t xml:space="preserve">                                                                                                                                            </w:t>
            </w:r>
            <w:r>
              <w:rPr>
                <w:rFonts w:hint="eastAsia" w:ascii="宋体" w:hAnsi="宋体"/>
              </w:rPr>
              <w:t>▲</w:t>
            </w:r>
            <w:r>
              <w:t>4</w:t>
            </w:r>
            <w:r>
              <w:rPr>
                <w:rFonts w:hint="eastAsia"/>
              </w:rPr>
              <w:t>.营养成分及微生物含量等符合国家标准，投标文件中和第一次供货时提供国家认可的第三方检测机构出具的检测报告复印件。</w:t>
            </w:r>
            <w:r>
              <w:t xml:space="preserve">                                                                                           </w:t>
            </w:r>
          </w:p>
          <w:p>
            <w:pPr>
              <w:spacing w:line="360" w:lineRule="exact"/>
              <w:jc w:val="left"/>
            </w:pPr>
            <w:r>
              <w:rPr>
                <w:rFonts w:hint="eastAsia" w:ascii="宋体" w:hAnsi="宋体"/>
              </w:rPr>
              <w:t>▲</w:t>
            </w:r>
            <w:r>
              <w:t>5</w:t>
            </w:r>
            <w:r>
              <w:rPr>
                <w:rFonts w:hint="eastAsia"/>
              </w:rPr>
              <w:t>.产品标准号</w:t>
            </w:r>
            <w:r>
              <w:t xml:space="preserve"> GB25191</w:t>
            </w:r>
            <w:r>
              <w:rPr>
                <w:rFonts w:hint="eastAsia"/>
              </w:rPr>
              <w:t>-</w:t>
            </w:r>
            <w:r>
              <w:t>2010</w:t>
            </w:r>
            <w:r>
              <w:rPr>
                <w:rFonts w:hint="eastAsia"/>
              </w:rPr>
              <w:t>；</w:t>
            </w:r>
            <w:r>
              <w:t xml:space="preserve"> </w:t>
            </w:r>
          </w:p>
          <w:p>
            <w:pPr>
              <w:numPr>
                <w:ilvl w:val="0"/>
                <w:numId w:val="1"/>
              </w:numPr>
              <w:spacing w:line="360" w:lineRule="exact"/>
              <w:jc w:val="left"/>
            </w:pPr>
            <w:r>
              <w:rPr>
                <w:rFonts w:hint="eastAsia"/>
              </w:rPr>
              <w:t>所提供的高钙牛奶会根据需要分批供货，每次所供的高钙牛奶保质期应为三个月以上；高钙牛奶在正常贮存期间如发现有质量问题的，</w:t>
            </w:r>
            <w:r>
              <w:rPr>
                <w:rFonts w:hint="eastAsia" w:ascii="宋体" w:hAnsi="宋体"/>
                <w:szCs w:val="21"/>
              </w:rPr>
              <w:t>中标供应商</w:t>
            </w:r>
            <w:r>
              <w:rPr>
                <w:rFonts w:hint="eastAsia"/>
              </w:rPr>
              <w:t>必须无条件给予包换包退，其产生的所有费用由中标供应商承担。</w:t>
            </w:r>
          </w:p>
          <w:p>
            <w:pPr>
              <w:numPr>
                <w:ilvl w:val="0"/>
                <w:numId w:val="1"/>
              </w:numPr>
              <w:spacing w:line="360" w:lineRule="exact"/>
              <w:jc w:val="left"/>
              <w:rPr>
                <w:rFonts w:ascii="仿宋" w:hAnsi="仿宋" w:eastAsia="仿宋" w:cs="Times New Roman"/>
                <w:b/>
                <w:bCs/>
                <w:szCs w:val="21"/>
              </w:rPr>
            </w:pPr>
            <w:r>
              <w:rPr>
                <w:rFonts w:hint="eastAsia" w:ascii="Times New Roman" w:hAnsi="Times New Roman" w:eastAsia="宋体"/>
              </w:rPr>
              <w:t>中标供应商供货时需提供每一批号的高钙牛奶产品自检报告。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19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560" w:lineRule="exact"/>
              <w:jc w:val="center"/>
              <w:rPr>
                <w:rFonts w:ascii="仿宋" w:hAnsi="仿宋" w:eastAsia="仿宋" w:cs="Times New Roman"/>
                <w:b/>
                <w:bCs/>
                <w:szCs w:val="21"/>
              </w:rPr>
            </w:pPr>
            <w:r>
              <w:rPr>
                <w:rFonts w:hint="eastAsia" w:ascii="仿宋" w:hAnsi="仿宋" w:eastAsia="仿宋" w:cs="Times New Roman"/>
                <w:b/>
                <w:bCs/>
                <w:szCs w:val="21"/>
              </w:rPr>
              <w:t>……</w:t>
            </w:r>
          </w:p>
        </w:tc>
        <w:tc>
          <w:tcPr>
            <w:tcW w:w="12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r>
              <w:rPr>
                <w:rFonts w:hint="eastAsia" w:ascii="仿宋" w:hAnsi="仿宋" w:eastAsia="仿宋" w:cs="Times New Roman"/>
                <w:b/>
                <w:bCs/>
                <w:szCs w:val="21"/>
              </w:rPr>
              <w:t>……</w:t>
            </w:r>
          </w:p>
        </w:tc>
        <w:tc>
          <w:tcPr>
            <w:tcW w:w="8186"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仿宋" w:hAnsi="仿宋" w:eastAsia="仿宋" w:cs="Times New Roman"/>
                <w:b/>
                <w:bCs/>
                <w:szCs w:val="21"/>
              </w:rPr>
            </w:pPr>
            <w:r>
              <w:rPr>
                <w:rFonts w:hint="eastAsia" w:ascii="仿宋" w:hAnsi="仿宋" w:eastAsia="仿宋" w:cs="Times New Roman"/>
                <w:b/>
                <w:bCs/>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1062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3" w:hRule="atLeast"/>
        </w:trPr>
        <w:tc>
          <w:tcPr>
            <w:tcW w:w="119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Times New Roman"/>
                <w:b/>
                <w:bCs/>
                <w:sz w:val="24"/>
              </w:rPr>
            </w:pPr>
            <w:r>
              <w:rPr>
                <w:rFonts w:hint="eastAsia" w:ascii="仿宋" w:hAnsi="仿宋" w:eastAsia="仿宋" w:cs="Times New Roman"/>
                <w:b/>
                <w:bCs/>
                <w:sz w:val="24"/>
              </w:rPr>
              <w:t>商</w:t>
            </w:r>
          </w:p>
          <w:p>
            <w:pPr>
              <w:spacing w:line="560" w:lineRule="exact"/>
              <w:jc w:val="center"/>
              <w:rPr>
                <w:rFonts w:ascii="仿宋" w:hAnsi="仿宋" w:eastAsia="仿宋" w:cs="Times New Roman"/>
                <w:b/>
                <w:bCs/>
                <w:sz w:val="24"/>
              </w:rPr>
            </w:pPr>
            <w:r>
              <w:rPr>
                <w:rFonts w:hint="eastAsia" w:ascii="仿宋" w:hAnsi="仿宋" w:eastAsia="仿宋" w:cs="Times New Roman"/>
                <w:b/>
                <w:bCs/>
                <w:sz w:val="24"/>
              </w:rPr>
              <w:t>务</w:t>
            </w:r>
          </w:p>
          <w:p>
            <w:pPr>
              <w:spacing w:line="560" w:lineRule="exact"/>
              <w:jc w:val="center"/>
              <w:rPr>
                <w:rFonts w:ascii="仿宋" w:hAnsi="仿宋" w:eastAsia="仿宋" w:cs="Times New Roman"/>
                <w:b/>
                <w:bCs/>
                <w:sz w:val="24"/>
              </w:rPr>
            </w:pPr>
            <w:r>
              <w:rPr>
                <w:rFonts w:hint="eastAsia" w:ascii="仿宋" w:hAnsi="仿宋" w:eastAsia="仿宋" w:cs="Times New Roman"/>
                <w:b/>
                <w:bCs/>
                <w:sz w:val="24"/>
              </w:rPr>
              <w:t>条</w:t>
            </w:r>
          </w:p>
          <w:p>
            <w:pPr>
              <w:spacing w:line="560" w:lineRule="exact"/>
              <w:jc w:val="center"/>
              <w:rPr>
                <w:rFonts w:ascii="仿宋" w:hAnsi="仿宋" w:eastAsia="仿宋" w:cs="Times New Roman"/>
                <w:b/>
                <w:bCs/>
                <w:szCs w:val="21"/>
              </w:rPr>
            </w:pPr>
            <w:r>
              <w:rPr>
                <w:rFonts w:hint="eastAsia" w:ascii="仿宋" w:hAnsi="仿宋" w:eastAsia="仿宋" w:cs="Times New Roman"/>
                <w:b/>
                <w:bCs/>
                <w:sz w:val="24"/>
              </w:rPr>
              <w:t>款</w:t>
            </w:r>
          </w:p>
        </w:tc>
        <w:tc>
          <w:tcPr>
            <w:tcW w:w="9423" w:type="dxa"/>
            <w:gridSpan w:val="2"/>
            <w:tcBorders>
              <w:top w:val="single" w:color="auto" w:sz="4" w:space="0"/>
              <w:left w:val="single" w:color="auto" w:sz="4" w:space="0"/>
              <w:bottom w:val="single" w:color="auto" w:sz="4" w:space="0"/>
              <w:right w:val="single" w:color="auto" w:sz="4" w:space="0"/>
            </w:tcBorders>
            <w:vAlign w:val="center"/>
          </w:tcPr>
          <w:p>
            <w:r>
              <w:rPr>
                <w:rFonts w:hint="eastAsia"/>
              </w:rPr>
              <w:t>一、合同签订期：自中标通知书发出之日起</w:t>
            </w:r>
            <w:r>
              <w:t xml:space="preserve"> 20</w:t>
            </w:r>
            <w:r>
              <w:rPr>
                <w:rFonts w:hint="eastAsia"/>
              </w:rPr>
              <w:t>日内</w:t>
            </w:r>
          </w:p>
          <w:p>
            <w:r>
              <w:rPr>
                <w:rFonts w:hint="eastAsia"/>
              </w:rPr>
              <w:t>二、交货期：</w:t>
            </w:r>
            <w:r>
              <w:t xml:space="preserve"> 12</w:t>
            </w:r>
            <w:r>
              <w:rPr>
                <w:rFonts w:hint="eastAsia"/>
              </w:rPr>
              <w:t>个月（按照采购人要求提供货物）</w:t>
            </w:r>
          </w:p>
          <w:p>
            <w:r>
              <w:rPr>
                <w:rFonts w:hint="eastAsia"/>
              </w:rPr>
              <w:t>三、交货地点：南宁中心血站指定地点送货（南宁市内），本项目中标供应商在接到业主通知后，按采购人所提供当次货品清单上的货品送至南宁市内指定献血点。</w:t>
            </w:r>
            <w:r>
              <w:t xml:space="preserve"> </w:t>
            </w:r>
          </w:p>
          <w:p>
            <w:r>
              <w:rPr>
                <w:rFonts w:hint="eastAsia"/>
              </w:rPr>
              <w:t>四、交货方式：</w:t>
            </w:r>
            <w:r>
              <w:t xml:space="preserve"> </w:t>
            </w:r>
            <w:r>
              <w:rPr>
                <w:rFonts w:hint="eastAsia"/>
              </w:rPr>
              <w:t>现场交货</w:t>
            </w:r>
          </w:p>
          <w:p>
            <w:r>
              <w:rPr>
                <w:rFonts w:hint="eastAsia"/>
              </w:rPr>
              <w:t>五、验收条件及标准</w:t>
            </w:r>
          </w:p>
          <w:p>
            <w:pPr>
              <w:pStyle w:val="2"/>
              <w:rPr>
                <w:rFonts w:eastAsia="宋体"/>
              </w:rPr>
            </w:pPr>
            <w:r>
              <w:rPr>
                <w:rFonts w:eastAsia="宋体"/>
              </w:rPr>
              <w:t>1</w:t>
            </w:r>
            <w:r>
              <w:rPr>
                <w:rFonts w:hint="eastAsia" w:eastAsia="宋体"/>
              </w:rPr>
              <w:t>、验收依据及标准：招标文件、投标文件、厂家货物技术标准说明及国家有关的质量标准规定，需求说明书均为验收依据。采购技术参数中涉及尺寸、重量及容量等指标在验收时允许有一定的误差，误差范围应符合相关国家标准或行业标准。</w:t>
            </w:r>
          </w:p>
          <w:p>
            <w:pPr>
              <w:pStyle w:val="2"/>
              <w:rPr>
                <w:rFonts w:eastAsia="宋体"/>
              </w:rPr>
            </w:pPr>
            <w:r>
              <w:rPr>
                <w:rFonts w:eastAsia="宋体"/>
              </w:rPr>
              <w:t>2</w:t>
            </w:r>
            <w:r>
              <w:rPr>
                <w:rFonts w:hint="eastAsia" w:eastAsia="宋体"/>
              </w:rPr>
              <w:t>、验收方法：货物运抵采购人处后由双方对照采购清单、技术要求及采购方有关制度进行验收。</w:t>
            </w:r>
          </w:p>
          <w:p>
            <w:pPr>
              <w:pStyle w:val="2"/>
              <w:rPr>
                <w:rFonts w:eastAsia="宋体"/>
              </w:rPr>
            </w:pPr>
            <w:r>
              <w:rPr>
                <w:rFonts w:eastAsia="宋体"/>
              </w:rPr>
              <w:t>3</w:t>
            </w:r>
            <w:r>
              <w:rPr>
                <w:rFonts w:hint="eastAsia" w:eastAsia="宋体"/>
              </w:rPr>
              <w:t>、中标供应商必须保证提供原产、正宗品牌产品，不得采用假冒及伪劣产品替代，如出现上述情形，采购人有权退货；造成社会不良影响的，采购人有权要求中标供应商通过各种途径积极消除不良影响，包括通过媒体公开道歉等，如同时造成经济损失的，中标供应商负责予以赔偿，采购人同时保留追诉相关法律责任的权利。</w:t>
            </w:r>
          </w:p>
          <w:p>
            <w:pPr>
              <w:pStyle w:val="2"/>
              <w:rPr>
                <w:rFonts w:eastAsia="宋体"/>
              </w:rPr>
            </w:pPr>
            <w:r>
              <w:rPr>
                <w:rFonts w:eastAsia="宋体"/>
              </w:rPr>
              <w:t>4</w:t>
            </w:r>
            <w:r>
              <w:rPr>
                <w:rFonts w:hint="eastAsia" w:eastAsia="宋体"/>
              </w:rPr>
              <w:t>、中标供应商应向采购人提供完整的货物技术资料，采购人有权委托国家认可的质量检测机构对货物性能、精度进行复核，费用由中标供应商承担。</w:t>
            </w:r>
          </w:p>
          <w:p>
            <w:pPr>
              <w:pStyle w:val="2"/>
              <w:rPr>
                <w:rFonts w:eastAsia="宋体"/>
              </w:rPr>
            </w:pPr>
            <w:r>
              <w:rPr>
                <w:rFonts w:eastAsia="宋体"/>
              </w:rPr>
              <w:t>5</w:t>
            </w:r>
            <w:r>
              <w:rPr>
                <w:rFonts w:hint="eastAsia" w:eastAsia="宋体"/>
              </w:rPr>
              <w:t>、中标供应商交货时的产品技术参数、性能等不得低于招标文件需求及中标供应商投标文件对应内容的承诺</w:t>
            </w:r>
            <w:r>
              <w:rPr>
                <w:rFonts w:eastAsia="宋体"/>
              </w:rPr>
              <w:t>;</w:t>
            </w:r>
            <w:r>
              <w:rPr>
                <w:rFonts w:hint="eastAsia" w:eastAsia="宋体"/>
              </w:rPr>
              <w:t>对不符合要求的产品，采购人有权拒绝验收，由此产生的一切后果，均由中标供应商承担。对由此造成中标供应商不能按时、按质、按量完成项目要求的，采购人将按照政府采购相关法律法规对中标供应商追究相应的赔偿责任。</w:t>
            </w:r>
          </w:p>
          <w:p>
            <w:pPr>
              <w:pStyle w:val="2"/>
              <w:rPr>
                <w:rFonts w:eastAsia="宋体"/>
              </w:rPr>
            </w:pPr>
            <w:r>
              <w:rPr>
                <w:rFonts w:eastAsia="宋体"/>
              </w:rPr>
              <w:t>6</w:t>
            </w:r>
            <w:r>
              <w:rPr>
                <w:rFonts w:hint="eastAsia" w:eastAsia="宋体"/>
              </w:rPr>
              <w:t>、在服务期间若出现以下情况，视为中标供应商违约：食品变质、即将过期或已过期；纪念品与订单或方案不一致；逾期送达的。</w:t>
            </w:r>
          </w:p>
          <w:p>
            <w:r>
              <w:rPr>
                <w:rFonts w:hint="eastAsia"/>
              </w:rPr>
              <w:t>六、售后服务要求：</w:t>
            </w:r>
            <w:r>
              <w:t xml:space="preserve"> </w:t>
            </w:r>
          </w:p>
          <w:p>
            <w:r>
              <w:t>1</w:t>
            </w:r>
            <w:r>
              <w:rPr>
                <w:rFonts w:hint="eastAsia"/>
              </w:rPr>
              <w:t>、按厂家承诺实行“三包”，负责送货上门。</w:t>
            </w:r>
          </w:p>
          <w:p>
            <w:r>
              <w:t>2</w:t>
            </w:r>
            <w:r>
              <w:rPr>
                <w:rFonts w:hint="eastAsia"/>
              </w:rPr>
              <w:t>、质保期：按国家三包政策执行，质保期</w:t>
            </w:r>
            <w:r>
              <w:t>1</w:t>
            </w:r>
            <w:r>
              <w:rPr>
                <w:rFonts w:hint="eastAsia"/>
              </w:rPr>
              <w:t>年。</w:t>
            </w:r>
          </w:p>
          <w:p>
            <w:r>
              <w:t>3</w:t>
            </w:r>
            <w:r>
              <w:rPr>
                <w:rFonts w:hint="eastAsia"/>
              </w:rPr>
              <w:t>、交货时须保证产品必须完好无损，符合国家有关质量、安全、技术标准；如发现任何质量问题，一律无条件退换。</w:t>
            </w:r>
          </w:p>
          <w:p>
            <w:r>
              <w:t>4</w:t>
            </w:r>
            <w:r>
              <w:rPr>
                <w:rFonts w:hint="eastAsia"/>
              </w:rPr>
              <w:t>、故障响应时间：所供货品出现问题要求</w:t>
            </w:r>
            <w:r>
              <w:t>2</w:t>
            </w:r>
            <w:r>
              <w:rPr>
                <w:rFonts w:hint="eastAsia"/>
              </w:rPr>
              <w:t>小时内响应，</w:t>
            </w:r>
            <w:r>
              <w:t>8</w:t>
            </w:r>
            <w:r>
              <w:rPr>
                <w:rFonts w:hint="eastAsia"/>
              </w:rPr>
              <w:t>小时内解决。</w:t>
            </w:r>
            <w:r>
              <w:t xml:space="preserve">                     </w:t>
            </w:r>
          </w:p>
          <w:p>
            <w:pPr>
              <w:widowControl/>
              <w:spacing w:line="320" w:lineRule="atLeast"/>
            </w:pPr>
            <w:r>
              <w:rPr>
                <w:rFonts w:hint="eastAsia"/>
              </w:rPr>
              <w:t>七、其他要求：</w:t>
            </w:r>
          </w:p>
          <w:p>
            <w:pPr>
              <w:widowControl/>
              <w:shd w:val="clear" w:color="auto" w:fill="FFFFFF"/>
              <w:spacing w:line="330" w:lineRule="atLeast"/>
            </w:pPr>
            <w:r>
              <w:rPr>
                <w:rFonts w:hint="eastAsia" w:ascii="宋体" w:hAnsi="宋体"/>
              </w:rPr>
              <w:t>▲</w:t>
            </w:r>
            <w:r>
              <w:t>1</w:t>
            </w:r>
            <w:r>
              <w:rPr>
                <w:rFonts w:hint="eastAsia"/>
              </w:rPr>
              <w:t>、本货物需求表按采购人要求提供配送上门服务。在实际合同执行过程中，采购人可根据实际需求对货品种类、数量进行调配，即同等价位下对采购数量或货品的种类进行修改。采购人结算时会根据按实际数量及金额来结算，中标供应商必须接受这一情况。</w:t>
            </w:r>
          </w:p>
          <w:p>
            <w:pPr>
              <w:widowControl/>
              <w:shd w:val="clear" w:color="auto" w:fill="FFFFFF"/>
              <w:spacing w:line="330" w:lineRule="atLeast"/>
            </w:pPr>
            <w:r>
              <w:rPr>
                <w:rFonts w:hint="eastAsia" w:ascii="宋体" w:hAnsi="宋体"/>
              </w:rPr>
              <w:t>▲</w:t>
            </w:r>
            <w:r>
              <w:t>2</w:t>
            </w:r>
            <w:r>
              <w:rPr>
                <w:rFonts w:hint="eastAsia"/>
              </w:rPr>
              <w:t>、付款方式：本项目无预付款，经采购人书面验收合格后，</w:t>
            </w:r>
            <w:r>
              <w:rPr>
                <w:rFonts w:hint="eastAsia" w:ascii="宋体" w:hAnsi="宋体" w:cs="宋体"/>
                <w:szCs w:val="21"/>
              </w:rPr>
              <w:t>按照</w:t>
            </w:r>
            <w:r>
              <w:rPr>
                <w:rFonts w:ascii="宋体" w:hAnsi="宋体" w:cs="宋体"/>
                <w:szCs w:val="21"/>
              </w:rPr>
              <w:t>实际供货</w:t>
            </w:r>
            <w:r>
              <w:rPr>
                <w:rFonts w:hint="eastAsia" w:ascii="宋体" w:hAnsi="宋体" w:cs="宋体"/>
                <w:szCs w:val="21"/>
              </w:rPr>
              <w:t>结算</w:t>
            </w:r>
            <w:r>
              <w:rPr>
                <w:rFonts w:ascii="宋体" w:hAnsi="宋体" w:cs="宋体"/>
                <w:szCs w:val="21"/>
              </w:rPr>
              <w:t>相应款项</w:t>
            </w:r>
            <w:r>
              <w:rPr>
                <w:rFonts w:hint="eastAsia"/>
              </w:rPr>
              <w:t>。</w:t>
            </w:r>
          </w:p>
          <w:p>
            <w:pPr>
              <w:widowControl/>
              <w:shd w:val="clear" w:color="auto" w:fill="FFFFFF"/>
              <w:spacing w:line="330" w:lineRule="atLeast"/>
            </w:pPr>
            <w:r>
              <w:t>3</w:t>
            </w:r>
            <w:r>
              <w:rPr>
                <w:rFonts w:hint="eastAsia"/>
              </w:rPr>
              <w:t>、如需要对合同条款未尽事宜进行修改、补充或完善的，采购人与中标供应商必须就所修改的内容签订书面的协议修改书，作为合同的补充。</w:t>
            </w:r>
          </w:p>
          <w:p>
            <w:pPr>
              <w:widowControl/>
              <w:shd w:val="clear" w:color="auto" w:fill="FFFFFF"/>
              <w:spacing w:line="330" w:lineRule="atLeast"/>
            </w:pPr>
            <w:r>
              <w:t>4</w:t>
            </w:r>
            <w:r>
              <w:rPr>
                <w:rFonts w:hint="eastAsia"/>
              </w:rPr>
              <w:t>、本项目供货实行零库存管理，按实际使用量结算，并结合各献血点纪念品发放的实际使用情况及时补货，中标供应商要保证货物的正常供应。</w:t>
            </w:r>
          </w:p>
          <w:p>
            <w:pPr>
              <w:widowControl/>
              <w:shd w:val="clear" w:color="auto" w:fill="FFFFFF"/>
              <w:spacing w:line="330" w:lineRule="atLeast"/>
            </w:pPr>
            <w:r>
              <w:t>5</w:t>
            </w:r>
            <w:r>
              <w:rPr>
                <w:rFonts w:hint="eastAsia"/>
              </w:rPr>
              <w:t>、中标供应商应提供全年每天</w:t>
            </w:r>
            <w:r>
              <w:t>24</w:t>
            </w:r>
            <w:r>
              <w:rPr>
                <w:rFonts w:hint="eastAsia"/>
              </w:rPr>
              <w:t>小时服务，接到采购人通知后</w:t>
            </w:r>
            <w:r>
              <w:t>2</w:t>
            </w:r>
            <w:r>
              <w:rPr>
                <w:rFonts w:hint="eastAsia"/>
              </w:rPr>
              <w:t>小时内作出响应。</w:t>
            </w:r>
          </w:p>
          <w:p>
            <w:pPr>
              <w:spacing w:line="360" w:lineRule="exact"/>
            </w:pPr>
            <w:r>
              <w:t>6</w:t>
            </w:r>
            <w:r>
              <w:rPr>
                <w:rFonts w:hint="eastAsia"/>
              </w:rPr>
              <w:t>、采购人每次要求供货时，会提供货清单以书面形式提前告知中标供应商，中标供应商须按货物清单供货，供货后供清单须交采购人相关负责人验收并在供货单上确认签字，供货单将作为结算依据。</w:t>
            </w:r>
          </w:p>
          <w:p>
            <w:pPr>
              <w:spacing w:line="360" w:lineRule="exact"/>
            </w:pPr>
            <w:r>
              <w:t>7</w:t>
            </w:r>
            <w:r>
              <w:rPr>
                <w:rFonts w:hint="eastAsia"/>
              </w:rPr>
              <w:t>、结算时，中标供应商按采购人要求须出具正式销售发票。</w:t>
            </w:r>
          </w:p>
          <w:p>
            <w:pPr>
              <w:spacing w:line="360" w:lineRule="exact"/>
              <w:rPr>
                <w:rFonts w:ascii="宋体" w:hAnsi="宋体"/>
              </w:rPr>
            </w:pPr>
            <w:r>
              <w:rPr>
                <w:rFonts w:hint="eastAsia" w:ascii="宋体" w:hAnsi="宋体"/>
              </w:rPr>
              <w:t>▲</w:t>
            </w:r>
            <w:r>
              <w:t>8</w:t>
            </w:r>
            <w:r>
              <w:rPr>
                <w:rFonts w:hint="eastAsia"/>
              </w:rPr>
              <w:t>、中标供应商在与采购人签订合同之后将货物需求一览表每个种类的货品送一件样品到采购人验收合格后封存。样品经采购人验收合格后日后作为之后供货产品质量验收依据。中标供应商应按其所提供的样品产品同等质量的产品进行供货。如为新增的货品则按同类产品的现行国家标准及第三方检测报告进行验收、供货。</w:t>
            </w:r>
          </w:p>
          <w:p>
            <w:pPr>
              <w:spacing w:line="560" w:lineRule="exact"/>
              <w:jc w:val="left"/>
              <w:rPr>
                <w:rFonts w:ascii="仿宋" w:hAnsi="仿宋" w:eastAsia="仿宋" w:cs="Times New Roman"/>
                <w:b/>
                <w:bCs/>
                <w:szCs w:val="21"/>
              </w:rPr>
            </w:pPr>
            <w:r>
              <w:rPr>
                <w:rFonts w:hint="eastAsia" w:ascii="宋体" w:hAnsi="宋体"/>
              </w:rPr>
              <w:t>▲</w:t>
            </w:r>
            <w:r>
              <w:t>9</w:t>
            </w:r>
            <w:r>
              <w:rPr>
                <w:rFonts w:hint="eastAsia"/>
              </w:rPr>
              <w:t>、中标供应所供的纪念品需加印南宁市中心血站宣传标语，具体内容由采购方与中标供应商确定样式后加印供货。</w:t>
            </w:r>
          </w:p>
        </w:tc>
      </w:tr>
    </w:tbl>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BD878"/>
    <w:multiLevelType w:val="singleLevel"/>
    <w:tmpl w:val="931BD878"/>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A66B07"/>
    <w:rsid w:val="02167062"/>
    <w:rsid w:val="02A9642E"/>
    <w:rsid w:val="02CC2024"/>
    <w:rsid w:val="04AA149E"/>
    <w:rsid w:val="04F45D81"/>
    <w:rsid w:val="06151822"/>
    <w:rsid w:val="09852754"/>
    <w:rsid w:val="09C7794A"/>
    <w:rsid w:val="09DE6C7D"/>
    <w:rsid w:val="0DD61119"/>
    <w:rsid w:val="10E67EC8"/>
    <w:rsid w:val="13BA190C"/>
    <w:rsid w:val="16EB3A04"/>
    <w:rsid w:val="191566FC"/>
    <w:rsid w:val="192F6AA6"/>
    <w:rsid w:val="1AD5762C"/>
    <w:rsid w:val="1DA446FA"/>
    <w:rsid w:val="20130031"/>
    <w:rsid w:val="2276481E"/>
    <w:rsid w:val="229551E8"/>
    <w:rsid w:val="236A4476"/>
    <w:rsid w:val="25265FCC"/>
    <w:rsid w:val="2617795B"/>
    <w:rsid w:val="28B27EE7"/>
    <w:rsid w:val="29AC440E"/>
    <w:rsid w:val="2CA94B69"/>
    <w:rsid w:val="2E3465F5"/>
    <w:rsid w:val="2FB04DAF"/>
    <w:rsid w:val="2FB82B85"/>
    <w:rsid w:val="30895915"/>
    <w:rsid w:val="313671CB"/>
    <w:rsid w:val="317D6A9B"/>
    <w:rsid w:val="32A61E11"/>
    <w:rsid w:val="36367A01"/>
    <w:rsid w:val="389438E0"/>
    <w:rsid w:val="3B0E227B"/>
    <w:rsid w:val="3BBB278D"/>
    <w:rsid w:val="3D040CE1"/>
    <w:rsid w:val="3DDF4E3A"/>
    <w:rsid w:val="3E6503A4"/>
    <w:rsid w:val="410118C0"/>
    <w:rsid w:val="420A7DFC"/>
    <w:rsid w:val="43A11722"/>
    <w:rsid w:val="447E6D9A"/>
    <w:rsid w:val="4653660A"/>
    <w:rsid w:val="47750D14"/>
    <w:rsid w:val="492E5F59"/>
    <w:rsid w:val="4A2A4971"/>
    <w:rsid w:val="4B401A82"/>
    <w:rsid w:val="4BE66DCB"/>
    <w:rsid w:val="4CF3465A"/>
    <w:rsid w:val="4D062BCA"/>
    <w:rsid w:val="51546E52"/>
    <w:rsid w:val="53136FBA"/>
    <w:rsid w:val="545039F2"/>
    <w:rsid w:val="54A81F57"/>
    <w:rsid w:val="54C0061C"/>
    <w:rsid w:val="55371C80"/>
    <w:rsid w:val="55E00A88"/>
    <w:rsid w:val="5DEE7255"/>
    <w:rsid w:val="5E0F044B"/>
    <w:rsid w:val="5F3E5DF3"/>
    <w:rsid w:val="5FDC79E2"/>
    <w:rsid w:val="61EB36D9"/>
    <w:rsid w:val="64A6131C"/>
    <w:rsid w:val="65077D8B"/>
    <w:rsid w:val="66043A68"/>
    <w:rsid w:val="661F25DA"/>
    <w:rsid w:val="685F1F91"/>
    <w:rsid w:val="6A0C0330"/>
    <w:rsid w:val="6DA66B07"/>
    <w:rsid w:val="6FA40604"/>
    <w:rsid w:val="71A761C5"/>
    <w:rsid w:val="73EE1E3F"/>
    <w:rsid w:val="79B84E04"/>
    <w:rsid w:val="7C264A5C"/>
    <w:rsid w:val="7F9C1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2021-03-05T01:29:00Z</dcterms:created>
  <dc:creator>WPS</dc:creator>
  <cp:lastModifiedBy>WPS</cp:lastModifiedBy>
  <dcterms:modified xsi:type="dcterms:W3CDTF">2021-07-07T07:09:49Z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7C1CF39EAB654BE6BD371809DD05F07F</vt:lpwstr>
  </property>
</Properties>
</file>