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color w:val="auto"/>
          <w:sz w:val="32"/>
        </w:rPr>
      </w:pPr>
      <w:r>
        <w:rPr>
          <w:rFonts w:hint="eastAsia"/>
          <w:b/>
          <w:color w:val="auto"/>
          <w:sz w:val="32"/>
        </w:rPr>
        <w:t>附件1</w:t>
      </w:r>
    </w:p>
    <w:p>
      <w:pPr>
        <w:pStyle w:val="4"/>
        <w:jc w:val="center"/>
        <w:rPr>
          <w:b/>
          <w:color w:val="auto"/>
          <w:sz w:val="32"/>
        </w:rPr>
      </w:pPr>
      <w:r>
        <w:rPr>
          <w:rFonts w:hint="eastAsia"/>
          <w:b/>
          <w:color w:val="auto"/>
          <w:sz w:val="32"/>
        </w:rPr>
        <w:t>采购需求一览表</w:t>
      </w:r>
    </w:p>
    <w:p>
      <w:pPr>
        <w:pStyle w:val="4"/>
        <w:ind w:firstLine="210" w:firstLineChars="100"/>
        <w:rPr>
          <w:rFonts w:hint="eastAsia" w:ascii="宋体" w:hAnsi="宋体" w:cs="宋体"/>
          <w:b/>
          <w:color w:val="auto"/>
          <w:kern w:val="1"/>
          <w:szCs w:val="21"/>
          <w:lang w:eastAsia="zh-CN"/>
        </w:rPr>
      </w:pPr>
      <w:r>
        <w:rPr>
          <w:rFonts w:hint="eastAsia" w:asciiTheme="minorEastAsia" w:hAnsiTheme="minorEastAsia" w:cstheme="minorEastAsia"/>
          <w:color w:val="auto"/>
          <w:szCs w:val="21"/>
        </w:rPr>
        <w:t xml:space="preserve"> </w:t>
      </w:r>
      <w:r>
        <w:rPr>
          <w:rFonts w:hint="eastAsia" w:asciiTheme="minorEastAsia" w:hAnsiTheme="minorEastAsia" w:cstheme="minorEastAsia"/>
          <w:b/>
          <w:bCs/>
          <w:color w:val="auto"/>
          <w:szCs w:val="21"/>
          <w:lang w:eastAsia="zh-CN"/>
        </w:rPr>
        <w:t>说明：</w:t>
      </w:r>
      <w:r>
        <w:rPr>
          <w:rFonts w:hint="eastAsia" w:ascii="宋体" w:hAnsi="宋体"/>
          <w:b/>
          <w:color w:val="auto"/>
        </w:rPr>
        <w:t>本</w:t>
      </w:r>
      <w:r>
        <w:rPr>
          <w:rFonts w:hint="eastAsia" w:ascii="宋体" w:hAnsi="宋体"/>
          <w:b/>
          <w:color w:val="auto"/>
          <w:lang w:eastAsia="zh-CN"/>
        </w:rPr>
        <w:t>采购</w:t>
      </w:r>
      <w:r>
        <w:rPr>
          <w:rFonts w:hint="eastAsia" w:ascii="宋体" w:hAnsi="宋体"/>
          <w:b/>
          <w:color w:val="auto"/>
        </w:rPr>
        <w:t>需求一览表中标注</w:t>
      </w:r>
      <w:r>
        <w:rPr>
          <w:rFonts w:hint="eastAsia" w:ascii="宋体" w:hAnsi="宋体"/>
          <w:color w:val="auto"/>
          <w:szCs w:val="21"/>
        </w:rPr>
        <w:t>★</w:t>
      </w:r>
      <w:r>
        <w:rPr>
          <w:rFonts w:hint="eastAsia" w:ascii="宋体" w:hAnsi="宋体"/>
          <w:b/>
          <w:color w:val="auto"/>
        </w:rPr>
        <w:t>号的内容为实质性要求和条件</w:t>
      </w:r>
      <w:r>
        <w:rPr>
          <w:rFonts w:hint="eastAsia" w:hAnsi="宋体"/>
          <w:b/>
          <w:color w:val="auto"/>
          <w:lang w:eastAsia="zh-CN"/>
        </w:rPr>
        <w:t>，响应</w:t>
      </w:r>
      <w:r>
        <w:rPr>
          <w:rFonts w:hint="eastAsia" w:ascii="宋体" w:hAnsi="宋体" w:cs="宋体"/>
          <w:b/>
          <w:color w:val="auto"/>
          <w:kern w:val="1"/>
          <w:szCs w:val="21"/>
        </w:rPr>
        <w:t>人必须满足或优于，不满足或负偏离</w:t>
      </w:r>
      <w:r>
        <w:rPr>
          <w:rFonts w:hint="eastAsia" w:ascii="宋体" w:hAnsi="宋体" w:cs="宋体"/>
          <w:b/>
          <w:color w:val="auto"/>
          <w:kern w:val="1"/>
          <w:szCs w:val="21"/>
          <w:lang w:eastAsia="zh-CN"/>
        </w:rPr>
        <w:t>视为</w:t>
      </w:r>
      <w:r>
        <w:rPr>
          <w:rFonts w:hint="eastAsia" w:ascii="宋体" w:hAnsi="宋体" w:cs="宋体"/>
          <w:b/>
          <w:color w:val="auto"/>
          <w:kern w:val="1"/>
          <w:szCs w:val="21"/>
        </w:rPr>
        <w:t>无效</w:t>
      </w:r>
      <w:r>
        <w:rPr>
          <w:rFonts w:hint="eastAsia" w:ascii="宋体" w:hAnsi="宋体" w:cs="宋体"/>
          <w:b/>
          <w:color w:val="auto"/>
          <w:kern w:val="1"/>
          <w:szCs w:val="21"/>
          <w:lang w:eastAsia="zh-CN"/>
        </w:rPr>
        <w:t>响应；未标注</w:t>
      </w:r>
      <w:r>
        <w:rPr>
          <w:rFonts w:hint="eastAsia" w:ascii="宋体" w:hAnsi="宋体"/>
          <w:color w:val="auto"/>
          <w:szCs w:val="21"/>
        </w:rPr>
        <w:t>★</w:t>
      </w:r>
      <w:r>
        <w:rPr>
          <w:rFonts w:hint="eastAsia" w:ascii="宋体" w:hAnsi="宋体" w:cs="宋体"/>
          <w:b/>
          <w:color w:val="auto"/>
          <w:kern w:val="1"/>
          <w:szCs w:val="21"/>
          <w:lang w:eastAsia="zh-CN"/>
        </w:rPr>
        <w:t>号的条款和要求，不满足或负偏离达</w:t>
      </w:r>
      <w:r>
        <w:rPr>
          <w:rFonts w:hint="eastAsia" w:ascii="宋体" w:hAnsi="宋体" w:cs="宋体"/>
          <w:b/>
          <w:color w:val="auto"/>
          <w:kern w:val="1"/>
          <w:szCs w:val="21"/>
          <w:lang w:val="en-US" w:eastAsia="zh-CN"/>
        </w:rPr>
        <w:t>3</w:t>
      </w:r>
      <w:r>
        <w:rPr>
          <w:rFonts w:hint="eastAsia" w:ascii="宋体" w:hAnsi="宋体" w:cs="宋体"/>
          <w:b/>
          <w:color w:val="auto"/>
          <w:kern w:val="1"/>
          <w:szCs w:val="21"/>
          <w:lang w:eastAsia="zh-CN"/>
        </w:rPr>
        <w:t>项（含）以上的，</w:t>
      </w:r>
      <w:r>
        <w:rPr>
          <w:rFonts w:hint="eastAsia" w:hAnsi="宋体" w:cs="宋体"/>
          <w:b/>
          <w:color w:val="auto"/>
          <w:kern w:val="1"/>
          <w:szCs w:val="21"/>
          <w:lang w:eastAsia="zh-CN"/>
        </w:rPr>
        <w:t>视</w:t>
      </w:r>
      <w:r>
        <w:rPr>
          <w:rFonts w:hint="eastAsia" w:ascii="宋体" w:hAnsi="宋体" w:cs="宋体"/>
          <w:b/>
          <w:color w:val="auto"/>
          <w:kern w:val="1"/>
          <w:szCs w:val="21"/>
          <w:lang w:eastAsia="zh-CN"/>
        </w:rPr>
        <w:t>为</w:t>
      </w:r>
      <w:r>
        <w:rPr>
          <w:rFonts w:hint="eastAsia" w:ascii="宋体" w:hAnsi="宋体" w:cs="宋体"/>
          <w:b/>
          <w:color w:val="auto"/>
          <w:kern w:val="1"/>
          <w:szCs w:val="21"/>
        </w:rPr>
        <w:t>无效</w:t>
      </w:r>
      <w:r>
        <w:rPr>
          <w:rFonts w:hint="eastAsia" w:ascii="宋体" w:hAnsi="宋体" w:cs="宋体"/>
          <w:b/>
          <w:color w:val="auto"/>
          <w:kern w:val="1"/>
          <w:szCs w:val="21"/>
          <w:lang w:eastAsia="zh-CN"/>
        </w:rPr>
        <w:t>响应。</w:t>
      </w:r>
    </w:p>
    <w:p>
      <w:pPr>
        <w:pStyle w:val="4"/>
        <w:rPr>
          <w:rFonts w:hint="default"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color w:val="auto"/>
          <w:kern w:val="1"/>
          <w:sz w:val="30"/>
          <w:szCs w:val="30"/>
          <w:lang w:val="en-US" w:eastAsia="zh-CN"/>
        </w:rPr>
        <w:t>一、A分标</w:t>
      </w:r>
    </w:p>
    <w:tbl>
      <w:tblPr>
        <w:tblStyle w:val="7"/>
        <w:tblW w:w="95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1123"/>
        <w:gridCol w:w="739"/>
        <w:gridCol w:w="1211"/>
        <w:gridCol w:w="4089"/>
        <w:gridCol w:w="17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>项号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auto"/>
                <w:sz w:val="18"/>
                <w:szCs w:val="18"/>
                <w:lang w:eastAsia="zh-CN"/>
              </w:rPr>
              <w:t>货物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>名称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>数量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18"/>
                <w:szCs w:val="18"/>
                <w:lang w:eastAsia="zh-CN"/>
              </w:rPr>
              <w:t>单位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18"/>
                <w:szCs w:val="18"/>
                <w:lang w:eastAsia="zh-CN"/>
              </w:rPr>
              <w:t>技术参数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18"/>
                <w:szCs w:val="18"/>
                <w:lang w:eastAsia="zh-CN"/>
              </w:rPr>
              <w:t>品牌及型号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  <w:lang w:eastAsia="zh-CN"/>
              </w:rPr>
              <w:t>热合机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sz w:val="18"/>
                <w:szCs w:val="18"/>
              </w:rPr>
              <w:t>、仪器类别：原装进口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2、射频源类型：高频晶体管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3、封管时间：1秒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4、热合管路直径：2-6mm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5、工作频率：≤40.68MHz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6、封口有效射频（RF）功率：</w:t>
            </w:r>
            <w:r>
              <w:rPr>
                <w:rFonts w:hint="eastAsia" w:ascii="宋体" w:hAnsi="宋体" w:cs="宋体"/>
                <w:sz w:val="18"/>
                <w:szCs w:val="18"/>
              </w:rPr>
              <w:tab/>
            </w:r>
            <w:r>
              <w:rPr>
                <w:rFonts w:hint="eastAsia" w:ascii="宋体" w:hAnsi="宋体" w:cs="宋体"/>
                <w:sz w:val="18"/>
                <w:szCs w:val="18"/>
              </w:rPr>
              <w:t>≥30W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★7、加强型RF输出功率最大可达150W，彻底解决国内各类血袋热合质量问题。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8、热合宽度调节：可根据不同型材和厚度的管路调节热合模式，达到最佳的热合面宽度。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9、金属热合电极融入独特的热合技术，热合面宽，大大降级溶血风险的发生。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10、能量芯片作为封管热合器关键部件之一，可通过更换厂家原装进口能量芯片以保证RF输出功率最大保持150W，热合性能良好，并保证终身供应。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11、防溅保护：透明可伸缩防溅保护片和金属防护盖，双重安全保障，避免热合时血液溅到操作者的眼睛里.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12.清洁便利：安全金属防护盖，无需借助专用工具即可方便拆卸清洁。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13、仪器型材：</w:t>
            </w:r>
            <w:r>
              <w:rPr>
                <w:rFonts w:hint="eastAsia" w:ascii="宋体" w:hAnsi="宋体" w:cs="宋体"/>
                <w:sz w:val="18"/>
                <w:szCs w:val="18"/>
              </w:rPr>
              <w:tab/>
            </w:r>
            <w:r>
              <w:rPr>
                <w:rFonts w:hint="eastAsia" w:ascii="宋体" w:hAnsi="宋体" w:cs="宋体"/>
                <w:sz w:val="18"/>
                <w:szCs w:val="18"/>
              </w:rPr>
              <w:t>铝合金型材制成仪器框架结构及防护挡板，轻便、抗颠簸、抗碰撞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14、辐射防护安全性：确保高频40.68MHz工作下，辐射强度不超过68dB，提供设备辐射曲线图，保证安全。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★15、散热系统：整机材料环保安全，无不良气体产生。采用导热性能优良的铝制外壳和散热片与风扇构成三重散热模式，性能稳定，能适应大批量热合任务，连续工作8小时以上。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★16、环形指示灯：指示热合的过程。准备状态（一个LED灯绿色）；热合中 (五个LED灯绿色)；未准备好，保护盖安装不当（五个LED灯琥珀色）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17、尺寸：</w:t>
            </w:r>
            <w:r>
              <w:rPr>
                <w:rFonts w:hint="eastAsia" w:ascii="宋体" w:hAnsi="宋体" w:cs="宋体"/>
                <w:sz w:val="18"/>
                <w:szCs w:val="18"/>
              </w:rPr>
              <w:tab/>
            </w:r>
            <w:r>
              <w:rPr>
                <w:rFonts w:hint="eastAsia" w:ascii="宋体" w:hAnsi="宋体" w:cs="宋体"/>
                <w:sz w:val="18"/>
                <w:szCs w:val="18"/>
              </w:rPr>
              <w:t>≤123mm（宽）×220mm（高）×301mm（长），宽度仅123mm±3%，重量≤4.8Kg，非常节省台面空间。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cs="宋体"/>
                <w:sz w:val="18"/>
                <w:szCs w:val="18"/>
              </w:rPr>
              <w:t>18 可选配热合手柄，电缆线长达1.8米，方便移动热合。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19、工作温度范围：0℃-40℃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20、消耗功率：工作：≤250W；待机：≤10W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21、电压范围：100-240VAC～50\60Hz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22、电源保护：多重电压保护装置，内置异常电流熔断器，保证意外情况下机器安全不受损。</w:t>
            </w:r>
          </w:p>
          <w:p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★23、热合保护：热合头遇水时自动发出声光报警，并启动热合保护功能，干燥后可继续热合。</w:t>
            </w:r>
          </w:p>
          <w:p>
            <w:pPr>
              <w:numPr>
                <w:ilvl w:val="0"/>
                <w:numId w:val="2"/>
              </w:num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安全性高，通过CE，KFDA等认证</w:t>
            </w:r>
          </w:p>
          <w:p>
            <w:pPr>
              <w:rPr>
                <w:rFonts w:hint="eastAsia" w:ascii="宋体" w:hAnsi="宋体" w:eastAsia="宋体" w:cs="宋体"/>
                <w:b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25、应出具权威检测机构出具的证明辐射骚扰场强符合要求的检验报告，确保使用人员安全。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default" w:eastAsiaTheme="minorEastAsia"/>
                <w:color w:val="auto"/>
                <w:sz w:val="18"/>
                <w:szCs w:val="18"/>
                <w:lang w:val="en-US" w:eastAsia="zh-CN"/>
              </w:rPr>
            </w:pPr>
          </w:p>
        </w:tc>
      </w:tr>
    </w:tbl>
    <w:p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eastAsia="zh-CN"/>
        </w:rPr>
        <w:t>二</w:t>
      </w:r>
      <w:r>
        <w:rPr>
          <w:rFonts w:hint="eastAsia"/>
          <w:b/>
          <w:bCs/>
          <w:sz w:val="32"/>
          <w:szCs w:val="32"/>
        </w:rPr>
        <w:t>、</w:t>
      </w:r>
      <w:r>
        <w:rPr>
          <w:rFonts w:hint="eastAsia"/>
          <w:b/>
          <w:bCs/>
          <w:sz w:val="32"/>
          <w:szCs w:val="32"/>
          <w:lang w:val="en-US" w:eastAsia="zh-CN"/>
        </w:rPr>
        <w:t>B</w:t>
      </w:r>
      <w:r>
        <w:rPr>
          <w:rFonts w:hint="eastAsia"/>
          <w:b/>
          <w:bCs/>
          <w:sz w:val="32"/>
          <w:szCs w:val="32"/>
        </w:rPr>
        <w:t>分标</w:t>
      </w:r>
    </w:p>
    <w:tbl>
      <w:tblPr>
        <w:tblStyle w:val="7"/>
        <w:tblW w:w="95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1123"/>
        <w:gridCol w:w="739"/>
        <w:gridCol w:w="1211"/>
        <w:gridCol w:w="4089"/>
        <w:gridCol w:w="17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空气消毒机（100m³）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1、适用体积：100m3  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外形：平板壁挂式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循环消毒风量：≥1000m3/h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紫外线辐照强度（垂直距离灯管15cm处）：≥7.75×103μW/cm2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5、紫外线管寿命：≥5000h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6、紫外线泄漏量：＜5μW/cm2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7、消毒时空气中臭氧量：≤0.1mg/m3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8、负离子发生量：≥6×106个/cm3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9、消毒后空气中细菌总数：Ⅱ、Ⅲ类无菌环境标准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10、适用环境：人在动态环境及静态环境（医院病区）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11、安全防护类型：I类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12、提供消毒产品卫生安全评价报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告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ab/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、备用紫外管自动启动装置；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、强力活性碳滤膜除臭；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、紫外管故障自动报警；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、风机负离子故障自动报警；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、不锈钢一次性过滤网罩；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18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、自动探测污染源启动装置；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19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、紫外线强度自动检测装置；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、自动累时维护报警；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、光触媒除菌；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、过滤网到期时自动报警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空气消毒机（120m³）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一、主要功能：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主机壳体选用完全不燃烧的金属材质经现代防潮工艺制成，面饰层采用水晶面板，款式时尚、新颖，表面平整无凹凸状，易清洁，不藏污纳垢减少交叉感染；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微电脑程序控制，触感式控制面板，中文背光液晶显示屏；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UV管、电机、负离子故障自动检测带真人语音故障提示；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UV强度在线自动检测，镜面不锈钢板固定，增加UV照射强度；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5、整机工作寿命计时和清洗保养提醒功能；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6、主管失效备管自动支援及加强功能；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7、采用进口主控制芯片，附带时钟计时芯片，工作稳定可靠；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8、程控、遥控、手控多控消毒运行；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风速高、中、低可选，采用下进上出风结构，避免凉风直吹病员；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10、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全翻盖式机壳，方便于日常清洗、保养、维护，节时省力；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11、带活性炭网除臭及光触媒除菌辅助消毒手段；</w:t>
            </w:r>
          </w:p>
          <w:p>
            <w:pPr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遥控器设计具有防丢失功能。</w:t>
            </w:r>
          </w:p>
          <w:p>
            <w:pPr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二、主要技术参数：</w:t>
            </w:r>
          </w:p>
          <w:p>
            <w:pPr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4、适用体积：120m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 xml:space="preserve">  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4.1、外形：平板壁挂式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4.2、外观尺寸：100cm×40cm×24cm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4.3、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循环消毒风量：≥1200m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/h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4.4、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紫外线辐照强度（垂直距离灯管15cm处）：≥7.84×10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μW/cm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2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4.5、消毒功率：≤470W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4.6、紫外线管寿命：≥5000h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4.7、紫外线泄漏量：＜5μW/cm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2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4.8、消毒时空气中臭氧量：≤0.1mg/m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3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4.9、负离子发生量：≥6×10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6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个/cm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3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4.10、额定电压：AC 220V±22V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4.11、额定频率：50Hz±1Hz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4.12、噪音：≤55dB(A)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4.13、消毒后空气中细菌总数：Ⅱ、Ⅲ类无菌环境标准</w:t>
            </w:r>
          </w:p>
          <w:p>
            <w:pPr>
              <w:tabs>
                <w:tab w:val="left" w:pos="3076"/>
              </w:tabs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4.14、适用环境：人在动态环境及静态环境（医院病区）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4.15、安全防护类型：I类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1、A2 型，30%外排，70%循环；相关试验中保护样本、人员和环境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2、外部尺寸(长×宽×高〉：≥1360mm×780mm × 2200mm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3、内部尺寸(长×宽×高〉≥1167mm ×610mm× 680mm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4、过滤器类型HEPA/ ULPA；主过滤器采用世界名牌AAF防潮、阻燃玻璃纤维超高效过滤器（ULPA）99.9995%@0.12µm ，洁净度等级10级，空气更洁净更安全。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5、工作区：采用四面(左右二侧、后部、底部)负压环绕设计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6、内部工作区域：工作区内壁及工作台面为304# 不锈钢，操作区三面一体成型，三面无接缝圆角结构，无死角，易清洁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7、前玻璃窗：有10 度及以上生理斜度，超出去安全高度具有声光报警功能:，6mm防紫外线钢化玻璃前窗，阻挡紫外线，防止爆裂,保证用户安全。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8、前窗机械平衡器悬停式钢化玻璃前窗设计结构技术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9、具有紫外灯、前窗、风机、照明灯四者互锁功能，在出现误操作等异常情况时，保护操作者安全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10、可调底脚高度，无外漏螺纹，防止细菌滋生；带脚轮，方便移动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11、噪声：≤63dB (A)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12、照明：≥1200；下降气流流速≥0.28m/s;流入气流流速≥0.55m/s。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★13、显示屏：可显示流入、下降风速，外排风量，静压箱及负压区压力，过滤器寿命（通过压力监控方式对过滤器寿命检测，并有过滤器寿命预警功能），紫外灯累计运行时间，风机累计运行时间。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14、预约定时功能：具有预约定时功能，能自动开启紫外灯消毒，实现一键预约功能，提高工作效率。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15、具有漏电防护功能插座，无接地线的情况下也可保障用户的用电安全。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16、具有气流阻断技术，对前窗上沿和两侧采用气流阻断技术杜绝防护盲点.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17、多重智能报警，异常状况全监控：门体位置异常（超高或超低）、 气流波动超20% 、门关闭不严、过滤器阻塞、破损、寿命不足、开门后风机被关闭等异常情况，自动发出声光报警。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18、IS09001质量管理认证及IS014001环境管理体系证，ISO13485认证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19、国家食品药品监督管理局核发的生物安全柜产品注册证。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★20、技术服务：免费安装、调试和试运行，整机保修三年。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纯水机电导率仪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1.电极型号：DJS-型电导电极、T-818-L型温度电极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2.仪器类型：便携式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3.电极数量：2个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4.准确度等级：0.5级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5.测量范围：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电导率：0.000uS/cm~3000mS/cm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电阻率：5.00Ω.cm~100.0MΩ.cm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TDS:0.000mg/L~1000g/l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盐度：（0.00~8.00）%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温度：（-5.0~130.0）℃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10.分辨率：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电导率、电阻率、TDS：随各档次不同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盐度：0.01%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温度：0.01℃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14.电子单元基本误差：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电导率：±0.5%（FS）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电阻率：±0.5%（FS）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TDS：±0.5%（FS）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盐度：±0.1%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温度：±0.1℃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15.充电器适用电源：输入：100~240VAC，0.15A，50/60HZ；输出：5VDC，1A。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16.显示：4.3’TFT触摸屏，达65K色域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17.电源：可充电锂电池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18.外形尺寸：201*96*55mm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19.重量：约0.3kg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8"/>
                <w:szCs w:val="18"/>
                <w:lang w:val="en-US" w:eastAsia="zh-CN"/>
              </w:rPr>
            </w:pPr>
          </w:p>
        </w:tc>
      </w:tr>
    </w:tbl>
    <w:p>
      <w:r>
        <w:rPr>
          <w:rFonts w:hint="eastAsia"/>
          <w:b/>
          <w:bCs/>
          <w:sz w:val="32"/>
          <w:szCs w:val="32"/>
          <w:lang w:eastAsia="zh-CN"/>
        </w:rPr>
        <w:t>三</w:t>
      </w:r>
      <w:r>
        <w:rPr>
          <w:rFonts w:hint="eastAsia"/>
          <w:b/>
          <w:bCs/>
          <w:sz w:val="32"/>
          <w:szCs w:val="32"/>
        </w:rPr>
        <w:t>、</w:t>
      </w:r>
      <w:r>
        <w:rPr>
          <w:rFonts w:hint="eastAsia"/>
          <w:b/>
          <w:bCs/>
          <w:sz w:val="32"/>
          <w:szCs w:val="32"/>
          <w:lang w:val="en-US" w:eastAsia="zh-CN"/>
        </w:rPr>
        <w:t>C</w:t>
      </w:r>
      <w:r>
        <w:rPr>
          <w:rFonts w:hint="eastAsia"/>
          <w:b/>
          <w:bCs/>
          <w:sz w:val="32"/>
          <w:szCs w:val="32"/>
        </w:rPr>
        <w:t>分标</w:t>
      </w:r>
      <w:bookmarkStart w:id="0" w:name="_GoBack"/>
      <w:bookmarkEnd w:id="0"/>
    </w:p>
    <w:tbl>
      <w:tblPr>
        <w:tblStyle w:val="7"/>
        <w:tblW w:w="95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1123"/>
        <w:gridCol w:w="739"/>
        <w:gridCol w:w="1211"/>
        <w:gridCol w:w="4089"/>
        <w:gridCol w:w="17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腕式血压计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1、显示方式：数字式显示方式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2、测量方式：示波测定法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3、测量范围：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压力: 0mmHg-299mmHg (0kPa~39.9kPa)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脉搏数: 40次/分-180次/分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4、测量精度：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压力: ±3mmHg (±0.4kPa)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 xml:space="preserve">脉搏数:精度为±5% 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5、压力检测：压力传感器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6、电源：5号干电池4节_ (DC 6V)，电源适配器(100V-240V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~50Hz-60Hz0.12A-0.065A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) (另售品)。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7、电池寿命：在室温23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℃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，臂周270mm，加压至170mmHg (22.7kPa) 的条件下，5号干电池4节(碱性)约能使用300次。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8、使用温湿度：+5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℃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-+40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℃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，15%RH-85%RH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9、本体重量：约250g (不包括电池)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10、本体使用期限5年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1日6回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）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11、外形尺寸约宽103mmx高80mmx厚129mm(不包括袖带)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12、袖带：约宽145mm x长466mm (重量约130g),空气管长610mm。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全自动血压计（台面）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外型尺寸：长230mm*宽2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8mm*高217mm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。</w:t>
            </w:r>
          </w:p>
          <w:p>
            <w:pP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2、</w:t>
            </w:r>
            <w: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脉搏数:读数的±5%以内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。</w:t>
            </w:r>
          </w:p>
          <w:p>
            <w:pP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3、</w:t>
            </w:r>
            <w: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存储容量：可存储2组*90次测量值，两个使用者分开记录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。</w:t>
            </w:r>
          </w:p>
          <w:p>
            <w:pP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4、</w:t>
            </w:r>
            <w: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本体重量：约1500g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（不含电池）。</w:t>
            </w:r>
          </w:p>
          <w:p>
            <w:pP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5、</w:t>
            </w:r>
            <w: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精度：压力±4mmHg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。</w:t>
            </w:r>
          </w:p>
          <w:p>
            <w:pP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6、</w:t>
            </w:r>
            <w: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电源：5号干电池4节/专用稳压电源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7、智能加压，核心生物传感技术，确保精准测量，可检测心脏异常情况。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8、可移动臂筒，纠正测量姿势，方便测量。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9、误动作提示，提示测量姿势错误。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10、时间日期显示。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11、可显示最近三次测量平均值。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电子血压计（臂式）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日本原装进口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1、显示方式：数字式显示方式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2、测量方式：示波测定法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3、测量范围：压力：0mmHg－299mmHg（0kPa－39．9kPa），脉搏数：40次/分－180次／分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4、测量精度：压力：±3mmHg（±0．4kPa），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脉搏数：精度为±5％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5、压カ检测：压力传感器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6、电源：5号干电池4节（Dc6V），电源适配器（AC100V－240V，50Hz／60Hz，0．12A）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7、主机使用寿命：5年以上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8、使用温湿度：＋5℃－＋40℃，15％RH－85％RH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9、运行大气压力：700hPa－1060hPa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10、远输保存大气压力：500hPa－1060hPa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11、主机重量：约290克（不包括电池）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12、外形尺寸：约宽107mmx高79mmx厚141mm（不包括袖带）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13、袖带：约宽146mmx长46mm（重量约130克）空气管长约610mm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采血椅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★电机 5组电机控制模式，可对背板、座板、脚板、脚踏板、手搁板分别或联动调节， 通过遥控板根据献血者需要任意调节最舒适的献血位。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皮面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皮面为高档医用皮革，耐用防腐防菌易清洁，椅面结合人体工程学运用独有的翼式工业设计，采用高端沙发的制作工艺，采用高弹力棉和记忆棉双层被覆，外观精美，大大提高舒适度。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椅面长度×宽度：1900mm×580mm。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椅面高度调节：电动调节533mm×733mm。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★背板折起角度：电动调节-15°—110°，一键休克更舒适。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座板折起角度：电动调节10°-30°。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腿板折起角度：电动调节-45°—30°。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脚踏板移动距离：电动调节100mm。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★有储物小方格和USB手机充电接口，方便献血者放置手机等物品和手机充电。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★头枕：卡槽式抽拉升降头枕，可根据献血者需要一定幅度调整头枕高度,遥控伸缩，不积尘，美观耐用。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11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★扶手：可水平范围内90°角度调节，上下通过电机微调升降0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-100mm。承重能力大于100KG，扶手具备加热功能，冬季增加裸露手臂的舒适感。扶手面设计独特凹槽设计，保证手臂不易滑动，达到最佳静脉穿刺位。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一键休克：紧急情况下献血反应体位调整：10秒内可一健控制，使椅子调整到休克位。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13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★一键休克：扶手可拉长，保障献血者手臂在休克位舒适且不悬空。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★扶手下可放置水杯，水杯有加热和冷却功能，方便献血者。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万向支架上安装小桌板，台面可以按需旋转。可选配多媒体支架和触摸屏电子设备，可收看视频和音频节目。可以选配音乐耳枕，亦可观看视频和音乐实现一人一机互不影响。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16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配置万向刹车脚轮，易于椅子的移动和固定。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17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电源：交流220V、50Hz，电机工作电压24V。</w:t>
            </w:r>
          </w:p>
          <w:p>
            <w:pP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18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椅子最大承重量：≥200kg。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default" w:ascii="宋体" w:hAnsi="宋体" w:eastAsiaTheme="minorEastAsia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商务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条款</w:t>
            </w:r>
          </w:p>
        </w:tc>
        <w:tc>
          <w:tcPr>
            <w:tcW w:w="89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276" w:lineRule="auto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一、合同签订期：自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采购结果公告结束</w:t>
            </w:r>
            <w:r>
              <w:rPr>
                <w:rFonts w:hint="eastAsia"/>
                <w:color w:val="auto"/>
                <w:sz w:val="18"/>
                <w:szCs w:val="18"/>
              </w:rPr>
              <w:t>之日起 7 个工作日内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。</w:t>
            </w:r>
          </w:p>
          <w:p>
            <w:pPr>
              <w:widowControl/>
              <w:shd w:val="clear" w:color="auto" w:fill="FFFFFF"/>
              <w:spacing w:line="276" w:lineRule="auto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二、交货期：自合同签订之日起</w:t>
            </w:r>
            <w:r>
              <w:rPr>
                <w:color w:val="auto"/>
                <w:sz w:val="18"/>
                <w:szCs w:val="18"/>
              </w:rPr>
              <w:t>15</w:t>
            </w:r>
            <w:r>
              <w:rPr>
                <w:rFonts w:hint="eastAsia"/>
                <w:color w:val="auto"/>
                <w:sz w:val="18"/>
                <w:szCs w:val="18"/>
              </w:rPr>
              <w:t>日内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。</w:t>
            </w:r>
          </w:p>
          <w:p>
            <w:pPr>
              <w:widowControl/>
              <w:shd w:val="clear" w:color="auto" w:fill="FFFFFF"/>
              <w:spacing w:line="276" w:lineRule="auto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 xml:space="preserve">三、交货地点：  采购人指定地点   </w:t>
            </w:r>
          </w:p>
          <w:p>
            <w:pPr>
              <w:widowControl/>
              <w:shd w:val="clear" w:color="auto" w:fill="FFFFFF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四、交货方式：现场交货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。</w:t>
            </w:r>
          </w:p>
          <w:p>
            <w:pPr>
              <w:autoSpaceDE w:val="0"/>
              <w:autoSpaceDN w:val="0"/>
              <w:adjustRightInd w:val="0"/>
              <w:spacing w:line="340" w:lineRule="exact"/>
              <w:ind w:right="86" w:rightChars="41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五</w:t>
            </w:r>
            <w:r>
              <w:rPr>
                <w:color w:val="auto"/>
                <w:sz w:val="18"/>
                <w:szCs w:val="18"/>
              </w:rPr>
              <w:t>、</w:t>
            </w:r>
            <w:r>
              <w:rPr>
                <w:rFonts w:hint="eastAsia"/>
                <w:color w:val="auto"/>
                <w:sz w:val="18"/>
                <w:szCs w:val="18"/>
              </w:rPr>
              <w:t>★售后服务及要求：</w:t>
            </w:r>
          </w:p>
          <w:p>
            <w:pPr>
              <w:spacing w:line="340" w:lineRule="exact"/>
              <w:ind w:left="370" w:leftChars="100" w:right="-17" w:rightChars="-8" w:hanging="160" w:hangingChars="100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1、按国家有关产品“三包”规定执行“三包”，质保期不得少于</w:t>
            </w:r>
            <w:r>
              <w:rPr>
                <w:color w:val="auto"/>
                <w:sz w:val="18"/>
                <w:szCs w:val="18"/>
              </w:rPr>
              <w:t>1</w:t>
            </w:r>
            <w:r>
              <w:rPr>
                <w:rFonts w:hint="eastAsia"/>
                <w:color w:val="auto"/>
                <w:sz w:val="18"/>
                <w:szCs w:val="18"/>
              </w:rPr>
              <w:t>年，自设备验收合格之日起计算，终身维护，保修期满前1个月内成交人应负责一次免费全面检查。质保期内免费维修、免费更换零部件。</w:t>
            </w:r>
          </w:p>
          <w:p>
            <w:pPr>
              <w:spacing w:line="340" w:lineRule="exact"/>
              <w:ind w:left="450" w:leftChars="100" w:hanging="240" w:hangingChars="150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2、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负责</w:t>
            </w:r>
            <w:r>
              <w:rPr>
                <w:rFonts w:hint="eastAsia"/>
                <w:color w:val="auto"/>
                <w:sz w:val="18"/>
                <w:szCs w:val="18"/>
              </w:rPr>
              <w:t>送货上门，负责安装调试合格。</w:t>
            </w:r>
          </w:p>
          <w:p>
            <w:pPr>
              <w:spacing w:line="340" w:lineRule="exact"/>
              <w:ind w:left="450" w:leftChars="100" w:hanging="240" w:hangingChars="150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3、现场培训1～2名相关人员设备操作、维修及日常维护，所需工具、器材由供应商自理。</w:t>
            </w:r>
          </w:p>
          <w:p>
            <w:pPr>
              <w:spacing w:line="340" w:lineRule="exact"/>
              <w:ind w:left="370" w:leftChars="100" w:hanging="160" w:hangingChars="10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  <w:r>
              <w:rPr>
                <w:rFonts w:hint="eastAsia"/>
                <w:color w:val="auto"/>
                <w:sz w:val="18"/>
                <w:szCs w:val="18"/>
              </w:rPr>
              <w:t>、出现故障2小时内做出响应，</w:t>
            </w:r>
            <w:r>
              <w:rPr>
                <w:color w:val="auto"/>
                <w:sz w:val="18"/>
                <w:szCs w:val="18"/>
              </w:rPr>
              <w:t>8</w:t>
            </w:r>
            <w:r>
              <w:rPr>
                <w:rFonts w:hint="eastAsia"/>
                <w:color w:val="auto"/>
                <w:sz w:val="18"/>
                <w:szCs w:val="18"/>
              </w:rPr>
              <w:t>小时到达维修现场。一般问题应在</w:t>
            </w:r>
            <w:r>
              <w:rPr>
                <w:color w:val="auto"/>
                <w:sz w:val="18"/>
                <w:szCs w:val="18"/>
              </w:rPr>
              <w:t>24</w:t>
            </w:r>
            <w:r>
              <w:rPr>
                <w:rFonts w:hint="eastAsia"/>
                <w:color w:val="auto"/>
                <w:sz w:val="18"/>
                <w:szCs w:val="18"/>
              </w:rPr>
              <w:t>小时内解决，重大问题或其它无法迅速解决的问题应在3日内解决，不能解决的在3日内提供备机服务。</w:t>
            </w:r>
          </w:p>
          <w:p>
            <w:pPr>
              <w:spacing w:line="340" w:lineRule="exact"/>
              <w:ind w:left="370" w:leftChars="100" w:hanging="160" w:hangingChars="10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  <w:r>
              <w:rPr>
                <w:rFonts w:hint="eastAsia"/>
                <w:color w:val="auto"/>
                <w:sz w:val="18"/>
                <w:szCs w:val="18"/>
              </w:rPr>
              <w:t>、定期回访以及对设备维护。</w:t>
            </w:r>
          </w:p>
          <w:p>
            <w:pPr>
              <w:spacing w:line="340" w:lineRule="exact"/>
              <w:ind w:left="370" w:leftChars="100" w:hanging="160" w:hangingChars="100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6、验收方法：产品需为原厂全新正品，完全符合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采购</w:t>
            </w:r>
            <w:r>
              <w:rPr>
                <w:rFonts w:hint="eastAsia"/>
                <w:color w:val="auto"/>
                <w:sz w:val="18"/>
                <w:szCs w:val="18"/>
              </w:rPr>
              <w:t>技术参数要求，</w:t>
            </w:r>
            <w:r>
              <w:rPr>
                <w:color w:val="auto"/>
                <w:sz w:val="18"/>
                <w:szCs w:val="18"/>
              </w:rPr>
              <w:t>供货时</w:t>
            </w:r>
            <w:r>
              <w:rPr>
                <w:rFonts w:hint="eastAsia"/>
                <w:color w:val="auto"/>
                <w:sz w:val="18"/>
                <w:szCs w:val="18"/>
              </w:rPr>
              <w:t>需</w:t>
            </w:r>
            <w:r>
              <w:rPr>
                <w:color w:val="auto"/>
                <w:sz w:val="18"/>
                <w:szCs w:val="18"/>
              </w:rPr>
              <w:t>进行产品功能测试</w:t>
            </w:r>
            <w:r>
              <w:rPr>
                <w:rFonts w:hint="eastAsia"/>
                <w:color w:val="auto"/>
                <w:sz w:val="18"/>
                <w:szCs w:val="18"/>
              </w:rPr>
              <w:t>。</w:t>
            </w:r>
          </w:p>
          <w:p>
            <w:pPr>
              <w:spacing w:line="340" w:lineRule="exact"/>
              <w:ind w:left="2" w:right="-17" w:rightChars="-8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六、★其他要求：</w:t>
            </w:r>
          </w:p>
          <w:p>
            <w:pPr>
              <w:spacing w:line="420" w:lineRule="exac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1、报价为采购人指定地点的现场交货价，包括：</w:t>
            </w:r>
          </w:p>
          <w:p>
            <w:pPr>
              <w:spacing w:line="420" w:lineRule="exac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（1）货物的价格；</w:t>
            </w:r>
          </w:p>
          <w:p>
            <w:pPr>
              <w:spacing w:line="420" w:lineRule="exac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（2）货物的标准附件、备品备件、专用工具的价格；</w:t>
            </w:r>
          </w:p>
          <w:p>
            <w:pPr>
              <w:spacing w:line="420" w:lineRule="exac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（3）运输、装卸、调试、培训、技术支持、售后服务等费用；</w:t>
            </w:r>
          </w:p>
          <w:p>
            <w:pPr>
              <w:spacing w:line="420" w:lineRule="exac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（4）必要的保险费用和各项税费；</w:t>
            </w:r>
          </w:p>
          <w:p>
            <w:pPr>
              <w:spacing w:line="420" w:lineRule="exact"/>
              <w:rPr>
                <w:rFonts w:hint="eastAsia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（5）安装费用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；</w:t>
            </w:r>
          </w:p>
          <w:p>
            <w:pPr>
              <w:spacing w:line="420" w:lineRule="exac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（6）项目设计、施工及施工过程所需的安装材料（辅材、配件等）等费用。</w:t>
            </w:r>
          </w:p>
          <w:p>
            <w:pPr>
              <w:pStyle w:val="5"/>
              <w:rPr>
                <w:rFonts w:hint="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七、付款方式：验收合格并收到供应商开具的有效真实发票后支付货款。</w:t>
            </w:r>
          </w:p>
        </w:tc>
      </w:tr>
    </w:tbl>
    <w:p>
      <w:pPr>
        <w:pStyle w:val="3"/>
        <w:outlineLvl w:val="0"/>
        <w:rPr>
          <w:rFonts w:hint="eastAsia" w:ascii="宋体" w:hAnsi="Courier New"/>
          <w:b/>
          <w:color w:val="auto"/>
          <w:sz w:val="16"/>
          <w:szCs w:val="16"/>
        </w:rPr>
      </w:pPr>
    </w:p>
    <w:p>
      <w:pPr>
        <w:pStyle w:val="3"/>
        <w:outlineLvl w:val="0"/>
        <w:rPr>
          <w:rFonts w:hint="eastAsia" w:ascii="宋体" w:hAnsi="Courier New"/>
          <w:b/>
          <w:color w:val="auto"/>
          <w:sz w:val="16"/>
          <w:szCs w:val="16"/>
        </w:rPr>
      </w:pPr>
    </w:p>
    <w:p>
      <w:pPr>
        <w:pStyle w:val="3"/>
        <w:outlineLvl w:val="0"/>
        <w:rPr>
          <w:rFonts w:hint="eastAsia" w:ascii="宋体" w:hAnsi="Courier New"/>
          <w:b/>
          <w:color w:val="auto"/>
          <w:sz w:val="32"/>
          <w:szCs w:val="2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118DBDAB"/>
    <w:multiLevelType w:val="singleLevel"/>
    <w:tmpl w:val="118DBDAB"/>
    <w:lvl w:ilvl="0" w:tentative="0">
      <w:start w:val="24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B07363"/>
    <w:rsid w:val="02BB35E9"/>
    <w:rsid w:val="19EC2AB6"/>
    <w:rsid w:val="28EB54F7"/>
    <w:rsid w:val="31E65521"/>
    <w:rsid w:val="40DE4E1F"/>
    <w:rsid w:val="475B59EE"/>
    <w:rsid w:val="4A267B61"/>
    <w:rsid w:val="5F35186B"/>
    <w:rsid w:val="5F5B72F3"/>
    <w:rsid w:val="68B07363"/>
    <w:rsid w:val="72206741"/>
    <w:rsid w:val="798A298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8">
    <w:name w:val="font171"/>
    <w:basedOn w:val="6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9">
    <w:name w:val="font191"/>
    <w:basedOn w:val="6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2021-05-10T08:34:00Z</dcterms:created>
  <dc:creator>WPS</dc:creator>
  <cp:lastModifiedBy>Administrator</cp:lastModifiedBy>
  <dcterms:modified xsi:type="dcterms:W3CDTF">2021-07-19T07:03:32Z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95E8816E505B4C64BCA2272C1FD1152E</vt:lpwstr>
  </property>
</Properties>
</file>