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附件1</w:t>
      </w:r>
    </w:p>
    <w:p>
      <w:pPr>
        <w:pStyle w:val="5"/>
        <w:jc w:val="center"/>
        <w:rPr>
          <w:rFonts w:hint="eastAsia"/>
          <w:b/>
          <w:color w:val="auto"/>
          <w:sz w:val="32"/>
          <w:highlight w:val="none"/>
        </w:rPr>
      </w:pPr>
      <w:bookmarkStart w:id="0" w:name="_GoBack"/>
      <w:r>
        <w:rPr>
          <w:rFonts w:hint="eastAsia"/>
          <w:b/>
          <w:color w:val="auto"/>
          <w:sz w:val="32"/>
          <w:highlight w:val="none"/>
        </w:rPr>
        <w:t>采购需求一览表</w:t>
      </w:r>
    </w:p>
    <w:bookmarkEnd w:id="0"/>
    <w:p>
      <w:pPr>
        <w:pStyle w:val="5"/>
        <w:ind w:firstLine="211" w:firstLineChars="100"/>
        <w:rPr>
          <w:rFonts w:hint="eastAsia"/>
        </w:rPr>
      </w:pPr>
      <w:r>
        <w:rPr>
          <w:rFonts w:hint="eastAsia" w:ascii="宋体" w:hAnsi="宋体"/>
          <w:b/>
          <w:color w:val="auto"/>
          <w:highlight w:val="none"/>
        </w:rPr>
        <w:t>本</w:t>
      </w:r>
      <w:r>
        <w:rPr>
          <w:rFonts w:hint="eastAsia" w:ascii="宋体" w:hAnsi="宋体"/>
          <w:b/>
          <w:color w:val="auto"/>
          <w:highlight w:val="none"/>
          <w:lang w:eastAsia="zh-CN"/>
        </w:rPr>
        <w:t>采购</w:t>
      </w:r>
      <w:r>
        <w:rPr>
          <w:rFonts w:hint="eastAsia" w:ascii="宋体" w:hAnsi="宋体"/>
          <w:b/>
          <w:color w:val="auto"/>
          <w:highlight w:val="none"/>
        </w:rPr>
        <w:t>需求一览表中标注</w:t>
      </w:r>
      <w:r>
        <w:rPr>
          <w:rFonts w:hint="eastAsia" w:ascii="宋体" w:hAnsi="宋体"/>
          <w:color w:val="auto"/>
          <w:szCs w:val="21"/>
          <w:highlight w:val="none"/>
        </w:rPr>
        <w:t>★</w:t>
      </w:r>
      <w:r>
        <w:rPr>
          <w:rFonts w:hint="eastAsia" w:ascii="宋体" w:hAnsi="宋体"/>
          <w:b/>
          <w:color w:val="auto"/>
          <w:highlight w:val="none"/>
        </w:rPr>
        <w:t>号的内容为实质性要求和条件</w:t>
      </w:r>
      <w:r>
        <w:rPr>
          <w:rFonts w:hint="eastAsia" w:hAnsi="宋体"/>
          <w:b/>
          <w:color w:val="auto"/>
          <w:highlight w:val="none"/>
          <w:lang w:eastAsia="zh-CN"/>
        </w:rPr>
        <w:t>，供应商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</w:rPr>
        <w:t>必须满足或优于，不满足或负偏离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视为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响应；未标注</w:t>
      </w:r>
      <w:r>
        <w:rPr>
          <w:rFonts w:hint="eastAsia" w:ascii="宋体" w:hAnsi="宋体"/>
          <w:color w:val="auto"/>
          <w:szCs w:val="21"/>
          <w:highlight w:val="none"/>
        </w:rPr>
        <w:t>★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号的条款和要求，不满足或负偏离达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项（含）以上的，</w:t>
      </w:r>
      <w:r>
        <w:rPr>
          <w:rFonts w:hint="eastAsia" w:hAnsi="宋体" w:cs="宋体"/>
          <w:b/>
          <w:color w:val="auto"/>
          <w:kern w:val="1"/>
          <w:szCs w:val="21"/>
          <w:highlight w:val="none"/>
          <w:lang w:eastAsia="zh-CN"/>
        </w:rPr>
        <w:t>视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为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响应。</w:t>
      </w:r>
    </w:p>
    <w:tbl>
      <w:tblPr>
        <w:tblStyle w:val="6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南宁中心血站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办公设备维修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widowControl w:val="0"/>
              <w:numPr>
                <w:ilvl w:val="0"/>
                <w:numId w:val="2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服务要求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提供采购人所规定的软硬件办公设备维护及技术支持（服务时间为一年），以保证采购人软硬件的正常、稳定运行。总体要求如下: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1、软硬件设备包含：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a、计算机设备（服务器、存储及服务器所用软件除外）的所有硬件；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b、电脑周边外设（含打印机、复印机、传真机、打印机一体机、扫描仪、速印机、装订机、碎纸机等）的所有硬件；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c、视频设备（LED显示屏、投影机、幕布）的所有硬件；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 w:eastAsiaTheme="minor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d、</w:t>
            </w:r>
            <w:r>
              <w:rPr>
                <w:rFonts w:hint="eastAsia"/>
              </w:rPr>
              <w:t>音响设备（调音台、功放、音箱、麦克风）的所有硬件</w:t>
            </w:r>
            <w:r>
              <w:rPr>
                <w:rFonts w:hint="eastAsia"/>
                <w:lang w:eastAsia="zh-CN"/>
              </w:rPr>
              <w:t>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e、关键网络设备类不在此服务内容（防火墙，核心交换机，VPN等关键网络设备）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f、软件类：计算机操作系统、常用办公软件（但不包含网络安全及其它应用软件、专用软件、业务软件如：财务软件、ERP管理软件等等）；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2、以上软硬件由供应商负责维修或更换。如果在保修期内，采购人提供设备保修凭证，由供应商负责联系厂家保修或更换；不在保修期内由供应商负责维修及更换；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3、供应商必须与采购人签订保密协议，采购人提供所有维保设备资料信息，仅供供应商参与运维的技术人员参考使用，供应商严守资料中所涉内容（设备配置、系统密码、数据文档等）妥善保管，不得遗失、转借、复印，一旦出现泄密事件，将依法追究供应商相关责任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4、供应商保证采购人软硬件办公设备安全、稳定运行。对于采购人出现的软、硬件故障，供应商必须在规定的时间内解决（一般问题4小时内解决，重大问题24小时内解决），否则承担由此造成的损失;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5、驻场工作人员7x24小时待命，接到维修通知后，市区内本部及各服务站点（流动点除外）2个小时内到达现场，其他所属血屋4小时到达现场。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6、维护期内采购人新增软硬件产品，均由供应商负责免费维护;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yellow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7、供应商需在采购人建立相应备品备件库，报价文件中写明备品备件明细，以满足突发故障的维修需要；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8、供应商需提供1名驻场工程师，要求身体健康、驻场经验丰富。须按下表格式列明为本项目服务的驻场工程师情况:驻场服务人员清单、姓名、年龄、学历、参加工作时间、资质证书或职称、驻场工作经历；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9、供应商所提供驻场工程师更换必须经采购人同意，采购人如果对驻场服务人员不满意，有权要求更换，供应商必须在收到《人员更换通知》起3个工作日内更换符合本采购要求的驻场工程师；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10、供应商入场后，对每次服务进行相应记录（内容不限于服务内容、服务时限、更换的配件、服务评价（优秀、良好、一般）等需经采购人认可），该服务记录需留存并作为采购人评价服务及验收的依据，发现服务记录作假或服务评价为一般的占服务评价10%及以上的视为服务验收不合格，扣除全年10%服务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一、合同签订期：自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采购结果公告结束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之日起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10个工作日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★二、提交服务成果时间：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合同签订之日起一年内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>
            <w:pPr>
              <w:tabs>
                <w:tab w:val="left" w:pos="2101"/>
              </w:tabs>
              <w:spacing w:line="360" w:lineRule="auto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三、服务地点：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南宁中心血站，市内各捐血屋、临时献血点，南宁市所辖县份的捐血屋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、其他要求：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★1、报价必须含以下部分，包括：</w:t>
            </w:r>
          </w:p>
          <w:p>
            <w:pPr>
              <w:numPr>
                <w:ilvl w:val="0"/>
                <w:numId w:val="3"/>
              </w:numPr>
              <w:tabs>
                <w:tab w:val="left" w:pos="2101"/>
              </w:tabs>
              <w:spacing w:line="360" w:lineRule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服务的价格；</w:t>
            </w:r>
          </w:p>
          <w:p>
            <w:pPr>
              <w:pStyle w:val="4"/>
              <w:numPr>
                <w:ilvl w:val="0"/>
                <w:numId w:val="3"/>
              </w:numPr>
            </w:pPr>
            <w:r>
              <w:rPr>
                <w:rFonts w:hint="eastAsia"/>
                <w:lang w:eastAsia="zh-CN"/>
              </w:rPr>
              <w:t>确保服务而提供的各项零部件费用；</w:t>
            </w:r>
          </w:p>
          <w:p>
            <w:pPr>
              <w:pStyle w:val="4"/>
              <w:numPr>
                <w:ilvl w:val="0"/>
                <w:numId w:val="3"/>
              </w:numPr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必要的保险费用和各项税金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4"/>
              <w:numPr>
                <w:ilvl w:val="0"/>
                <w:numId w:val="3"/>
              </w:numPr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其他如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人工、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培训、交通、差旅、售后服务等费用。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2、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供应商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应具备履行合同所必须的设备和专业技术能力。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3、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成交供应商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必须签署相关保密协议，严格遵守协议及有关保密要求。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★4、验收过程中，如发现服务成果与需求不符的，采购方有权终止采购合同，一切后果由成交供应商承担。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★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、付款方式：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合同签订后支付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30%合同款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2021年12月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支付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20%合同款，2022年3月支付30%合同款，服务结束且经采购人验收合格后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支付剩余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20%合同款,验收不合格则只支付10%合同款；</w:t>
            </w: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付款前供应商开具对应金额增值税发票。</w:t>
            </w:r>
          </w:p>
        </w:tc>
      </w:tr>
    </w:tbl>
    <w:p>
      <w:pPr>
        <w:pStyle w:val="5"/>
        <w:ind w:firstLine="210" w:firstLineChars="100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</w:pPr>
    </w:p>
    <w:p>
      <w:pPr>
        <w:pStyle w:val="5"/>
        <w:jc w:val="left"/>
        <w:rPr>
          <w:rFonts w:hint="eastAsia"/>
          <w:b/>
          <w:sz w:val="32"/>
        </w:rPr>
      </w:pPr>
    </w:p>
    <w:p>
      <w:pPr>
        <w:pStyle w:val="3"/>
        <w:ind w:left="0" w:leftChars="0" w:firstLine="0" w:firstLineChars="0"/>
        <w:rPr>
          <w:rFonts w:hint="eastAsia"/>
          <w:b/>
          <w:sz w:val="32"/>
        </w:rPr>
      </w:pPr>
    </w:p>
    <w:p>
      <w:pPr>
        <w:rPr>
          <w:rFonts w:hint="eastAsia"/>
          <w:b/>
          <w:sz w:val="32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12BBBA2"/>
    <w:multiLevelType w:val="singleLevel"/>
    <w:tmpl w:val="312BBB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ABE4289"/>
    <w:multiLevelType w:val="singleLevel"/>
    <w:tmpl w:val="7ABE428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7D6BFC"/>
    <w:rsid w:val="417D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2021-07-26T07:28:00Z</dcterms:created>
  <dc:creator>WPS</dc:creator>
  <cp:lastModifiedBy>WPS</cp:lastModifiedBy>
  <dcterms:modified xsi:type="dcterms:W3CDTF">2021-07-26T07:29:24Z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D5F25CC7283B4DCCA873719A773F413B</vt:lpwstr>
  </property>
</Properties>
</file>