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outlineLvl w:val="0"/>
        <w:rPr>
          <w:rFonts w:ascii="宋体" w:hAnsi="Courier New"/>
          <w:b/>
          <w:sz w:val="32"/>
          <w:szCs w:val="20"/>
        </w:rPr>
      </w:pPr>
      <w:r>
        <w:rPr>
          <w:rFonts w:hint="eastAsia" w:ascii="宋体" w:hAnsi="Courier New"/>
          <w:b/>
          <w:sz w:val="32"/>
          <w:szCs w:val="20"/>
        </w:rPr>
        <w:t>附件2</w:t>
      </w:r>
    </w:p>
    <w:p>
      <w:pPr>
        <w:pStyle w:val="2"/>
        <w:numPr>
          <w:ilvl w:val="3"/>
          <w:numId w:val="0"/>
        </w:numPr>
        <w:ind w:left="1077" w:leftChars="0" w:firstLine="2240" w:firstLineChars="700"/>
        <w:jc w:val="both"/>
        <w:rPr>
          <w:rFonts w:hint="eastAsia"/>
          <w:sz w:val="32"/>
          <w:szCs w:val="32"/>
          <w:lang w:eastAsia="zh-CN"/>
        </w:rPr>
      </w:pPr>
      <w:bookmarkStart w:id="2" w:name="_GoBack"/>
      <w:r>
        <w:rPr>
          <w:rFonts w:hint="eastAsia"/>
          <w:sz w:val="32"/>
          <w:szCs w:val="32"/>
          <w:lang w:eastAsia="zh-CN"/>
        </w:rPr>
        <w:t>响应技术资料表</w:t>
      </w:r>
    </w:p>
    <w:bookmarkEnd w:id="2"/>
    <w:p>
      <w:pPr>
        <w:pStyle w:val="6"/>
        <w:ind w:firstLine="210" w:firstLineChars="100"/>
        <w:rPr>
          <w:rFonts w:hAnsi="宋体"/>
        </w:rPr>
      </w:pPr>
    </w:p>
    <w:p>
      <w:pPr>
        <w:pStyle w:val="6"/>
        <w:spacing w:line="44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hint="eastAsia" w:asciiTheme="minorEastAsia" w:hAnsiTheme="minorEastAsia"/>
          <w:szCs w:val="21"/>
        </w:rPr>
        <w:t>。“偏离说明”一栏选择“正偏离”、“负偏离”或“无偏离”进行填写。</w:t>
      </w:r>
    </w:p>
    <w:p>
      <w:pPr>
        <w:pStyle w:val="6"/>
        <w:rPr>
          <w:rFonts w:hAnsi="宋体"/>
          <w:szCs w:val="21"/>
        </w:rPr>
      </w:pPr>
    </w:p>
    <w:p>
      <w:pPr>
        <w:pStyle w:val="6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tbl>
      <w:tblPr>
        <w:tblStyle w:val="9"/>
        <w:tblW w:w="10824" w:type="dxa"/>
        <w:tblInd w:w="-6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5"/>
        <w:gridCol w:w="921"/>
        <w:gridCol w:w="3506"/>
        <w:gridCol w:w="1065"/>
        <w:gridCol w:w="3416"/>
        <w:gridCol w:w="14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485" w:type="dxa"/>
            <w:vMerge w:val="restart"/>
            <w:vAlign w:val="center"/>
          </w:tcPr>
          <w:p>
            <w:pPr>
              <w:pStyle w:val="6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int="eastAsia" w:hAnsi="宋体"/>
                <w:spacing w:val="-20"/>
                <w:szCs w:val="21"/>
              </w:rPr>
              <w:t>序号</w:t>
            </w:r>
          </w:p>
        </w:tc>
        <w:tc>
          <w:tcPr>
            <w:tcW w:w="4427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采购文件需求</w:t>
            </w:r>
          </w:p>
        </w:tc>
        <w:tc>
          <w:tcPr>
            <w:tcW w:w="4481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响应文件承诺</w:t>
            </w:r>
          </w:p>
        </w:tc>
        <w:tc>
          <w:tcPr>
            <w:tcW w:w="1431" w:type="dxa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485" w:type="dxa"/>
            <w:vMerge w:val="continue"/>
            <w:vAlign w:val="center"/>
          </w:tcPr>
          <w:p>
            <w:pPr>
              <w:pStyle w:val="6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921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货物</w:t>
            </w: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eastAsia" w:ascii="宋体" w:eastAsiaTheme="minorEastAsia"/>
                <w:szCs w:val="21"/>
                <w:lang w:eastAsia="zh-CN"/>
              </w:rPr>
            </w:pPr>
            <w:r>
              <w:rPr>
                <w:rFonts w:hint="eastAsia" w:ascii="宋体"/>
                <w:szCs w:val="21"/>
                <w:lang w:eastAsia="zh-CN"/>
              </w:rPr>
              <w:t>技术参数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货物</w:t>
            </w: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3416" w:type="dxa"/>
            <w:vAlign w:val="center"/>
          </w:tcPr>
          <w:p>
            <w:pPr>
              <w:jc w:val="center"/>
              <w:rPr>
                <w:rFonts w:hint="eastAsia" w:ascii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响应技术参数</w:t>
            </w:r>
          </w:p>
        </w:tc>
        <w:tc>
          <w:tcPr>
            <w:tcW w:w="1431" w:type="dxa"/>
            <w:vMerge w:val="continue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  <w:vAlign w:val="center"/>
          </w:tcPr>
          <w:p>
            <w:pPr>
              <w:pStyle w:val="6"/>
              <w:jc w:val="center"/>
              <w:rPr>
                <w:rFonts w:hAnsi="宋体"/>
                <w:spacing w:val="-20"/>
                <w:sz w:val="16"/>
                <w:szCs w:val="16"/>
              </w:rPr>
            </w:pPr>
            <w:r>
              <w:rPr>
                <w:rFonts w:hAnsi="宋体"/>
                <w:spacing w:val="-20"/>
                <w:sz w:val="16"/>
                <w:szCs w:val="16"/>
              </w:rPr>
              <w:t>1</w:t>
            </w:r>
          </w:p>
        </w:tc>
        <w:tc>
          <w:tcPr>
            <w:tcW w:w="921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PDA</w:t>
            </w:r>
          </w:p>
        </w:tc>
        <w:tc>
          <w:tcPr>
            <w:tcW w:w="3506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一、主要用途</w:t>
            </w:r>
          </w:p>
          <w:p>
            <w:pPr>
              <w:pStyle w:val="8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-US" w:eastAsia="zh-CN"/>
              </w:rPr>
              <w:t>主要用于在采血过程当中对采血相关数据的采集、登记，对献血者的信息进行核对，业务系统相关信息进行关联核对等。</w:t>
            </w:r>
          </w:p>
          <w:p>
            <w:pPr>
              <w:numPr>
                <w:ilvl w:val="0"/>
                <w:numId w:val="0"/>
              </w:numPr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二、具体参数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1、CPU ：Cortex™-A53八核1.8 GHz；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★</w:t>
            </w:r>
            <w:r>
              <w:rPr>
                <w:rFonts w:hint="eastAsia"/>
                <w:lang w:val="en-US" w:eastAsia="zh-CN"/>
              </w:rPr>
              <w:t>2、操作系统： Android9.0；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★</w:t>
            </w:r>
            <w:r>
              <w:rPr>
                <w:rFonts w:hint="eastAsia"/>
                <w:lang w:val="en-US" w:eastAsia="zh-CN"/>
              </w:rPr>
              <w:t>3、存储： 4GB+64GB；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4、</w:t>
            </w:r>
            <w:r>
              <w:rPr>
                <w:rFonts w:hint="default"/>
                <w:lang w:val="en-US" w:eastAsia="zh-CN"/>
              </w:rPr>
              <w:t>SIM接口</w:t>
            </w:r>
            <w:r>
              <w:rPr>
                <w:rFonts w:hint="eastAsia"/>
                <w:lang w:val="en-US" w:eastAsia="zh-CN"/>
              </w:rPr>
              <w:t>：Micro SIM卡*2（双卡双待，主板支持4G）；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5、用户存储扩展：Micro SD Card，最大兼容128GB；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★</w:t>
            </w:r>
            <w:r>
              <w:rPr>
                <w:rFonts w:hint="eastAsia"/>
                <w:lang w:val="en-US" w:eastAsia="zh-CN"/>
              </w:rPr>
              <w:t>6、接口/通信：防水Type C USB接口；支持USB2.0  HighSpeed ；支持OTG；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7、键盘：音量+、- 键、开关机键、2个侧扫描键、功能键。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8、显示屏幕：5.2英寸显示屏，电容式触摸, 1920(H)×1080(W)；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9、电源：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a、半可拆卸3.8V 4500mAh锂离子充电电池;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b、底部Type C USB接口，支持快速充电，智能识别PC及充电器；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c、背部POGO PIN接口，支持快速充电，USB数据通讯及VBAT供电、扫描触发键;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10、通知方式：声音、振动器、LED灯指示；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11、音频：内置单扬声器（1W），内置双麦克风（具有降噪功能），3.5mm立体声耳麦接口；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12、传感器：加速度传感器、陀螺仪、电子罗盘、光线&amp;距离传感器；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13、尺寸：152(H)×75.9(W)×12.8(T)；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14、重量(含标准电池)：227g（含电池，依据不同配置有不同）；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★</w:t>
            </w:r>
            <w:r>
              <w:rPr>
                <w:rFonts w:hint="eastAsia"/>
                <w:lang w:val="en-US" w:eastAsia="zh-CN"/>
              </w:rPr>
              <w:t>15、工作温度：-20℃至+50℃；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16、储存温度：-40℃至+50℃（含电池）；-40℃至+70℃（不含电池）；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17、湿度：5% to 95% RH 无凝露状态；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18、防水防尘工业等级：IP67；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19、跌落等级：1.5米；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20、抗冲击：1000轮 0.5米滚动（相当于2000次撞击）；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21、静电放电(ESD)：±15kV空气放电，±8kV直接放电；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22、光学分辨率：1600（H）× 1200（V）；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23、旋转视角：360°；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24、上下倾斜视角：偏离正常角度±60°；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25、左右偏移视角：偏离正常角度±55°；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26、扫描景深：5mil Code39 （9 字符） 62-138mm，20mil Code128 (12 字符) 100-550mm；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27、图像帧率：15fps；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28、支持符号：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a、1D：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UPC/EAN, UPC/EAN with supplementals, Code128, GS1-128, Code 39, Trioptic, Code 32, Code 93, Code11, Matrix 2 of 5, Interleaved 2 of 5, IATA 2 of 5, Industrial 2 of 5, Codabar, MSI, Code11 等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b、2D: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PDF417, MicroPDF417, Composite Code, Data Matrix, Maxicode, QR Code, MicroQR, Aztec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29、照明、投射：白光照明、红光投射；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30、最小印刷对比度：40%；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31、拍照功能：定焦；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32、像素：500万；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33、拍照功能：自动对焦 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34、像素：1300万；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35、闪光灯+补光：支持；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36、可读写标签：支持NFC协议；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37、工作频率：HF频段13.56MHz；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38、类型：Micro PSAM卡（如使用PSAM功能，设备不支持双卡双待）；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39、定位系统：GPS、北斗、GLONASS三合一；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40、频率：GPS:L1(1.575GHz)、北斗: B1(1.561GHz)、 GLONASS:L1(1.602GHZ)；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41、精度：5-10米（OPEN SKY）；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★</w:t>
            </w:r>
            <w:r>
              <w:rPr>
                <w:rFonts w:hint="eastAsia"/>
                <w:lang w:val="en-US" w:eastAsia="zh-CN"/>
              </w:rPr>
              <w:t>41、协议：IEEE 802.11a/b/g/n/ac（2.4G/5G双频WIFI）协议；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★</w:t>
            </w:r>
            <w:r>
              <w:rPr>
                <w:rFonts w:hint="eastAsia"/>
                <w:lang w:val="en-US" w:eastAsia="zh-CN"/>
              </w:rPr>
              <w:t>43、频率范围：2.4GHz为2.412GHz-2.472 GHz；5GHz为5.170GHz-5.825GHz；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★</w:t>
            </w:r>
            <w:r>
              <w:rPr>
                <w:rFonts w:hint="eastAsia"/>
                <w:lang w:val="en-US" w:eastAsia="zh-CN"/>
              </w:rPr>
              <w:t>44、频率：GSM：Qual Band(850/900/1800/1900Mhz)</w:t>
            </w:r>
          </w:p>
          <w:p>
            <w:pPr>
              <w:pStyle w:val="7"/>
              <w:numPr>
                <w:ilvl w:val="0"/>
                <w:numId w:val="0"/>
              </w:numPr>
              <w:ind w:firstLine="1050" w:firstLineChars="5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TD-SCDMA：Band34,Band39</w:t>
            </w:r>
          </w:p>
          <w:p>
            <w:pPr>
              <w:pStyle w:val="7"/>
              <w:numPr>
                <w:ilvl w:val="0"/>
                <w:numId w:val="0"/>
              </w:numPr>
              <w:ind w:firstLine="1050" w:firstLineChars="5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WCDMA：Band1，Band2，Band5，Band8</w:t>
            </w:r>
          </w:p>
          <w:p>
            <w:pPr>
              <w:pStyle w:val="7"/>
              <w:numPr>
                <w:ilvl w:val="0"/>
                <w:numId w:val="0"/>
              </w:numPr>
              <w:ind w:firstLine="1050" w:firstLineChars="5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CDMA 1x /EVDO ：BC0</w:t>
            </w:r>
          </w:p>
          <w:p>
            <w:pPr>
              <w:pStyle w:val="7"/>
              <w:numPr>
                <w:ilvl w:val="0"/>
                <w:numId w:val="0"/>
              </w:numPr>
              <w:ind w:firstLine="1050" w:firstLineChars="5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TDD-LTE：Band38，Band39，Band40，Band41</w:t>
            </w:r>
          </w:p>
          <w:p>
            <w:pPr>
              <w:pStyle w:val="7"/>
              <w:numPr>
                <w:ilvl w:val="0"/>
                <w:numId w:val="0"/>
              </w:numPr>
              <w:ind w:firstLine="1050" w:firstLineChars="5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FDD-LTE：Band1，Band3，Band7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45、标准:Bluetooth 4.2（支持BLE）;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46、功率：Class II；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47、系统软件：Android 7.1；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48、系统编程环境：Eclipse, Android Studio；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49、标准配件：便携适配器（CCC、欧规、英规）×1 、Type C数据通信线×1 、手绳×1 ；</w:t>
            </w:r>
          </w:p>
          <w:p>
            <w:pPr>
              <w:widowControl/>
              <w:jc w:val="left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★50、软件使用：能够安装血站使用业务系统相关APP进行数据的互联互通，并且适用南宁中心血站的业务场景；</w:t>
            </w:r>
          </w:p>
        </w:tc>
        <w:tc>
          <w:tcPr>
            <w:tcW w:w="1065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3416" w:type="dxa"/>
            <w:vAlign w:val="center"/>
          </w:tcPr>
          <w:p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请填入贵单位响应的内容。</w:t>
            </w:r>
          </w:p>
          <w:p>
            <w:pPr>
              <w:pStyle w:val="8"/>
              <w:rPr>
                <w:sz w:val="21"/>
                <w:szCs w:val="21"/>
              </w:rPr>
            </w:pPr>
          </w:p>
        </w:tc>
        <w:tc>
          <w:tcPr>
            <w:tcW w:w="1431" w:type="dxa"/>
            <w:vAlign w:val="center"/>
          </w:tcPr>
          <w:p>
            <w:pPr>
              <w:rPr>
                <w:rFonts w:ascii="宋体" w:hAnsi="宋体"/>
                <w:color w:val="FF0000"/>
                <w:sz w:val="21"/>
                <w:szCs w:val="21"/>
              </w:rPr>
            </w:pPr>
            <w:r>
              <w:rPr>
                <w:rFonts w:ascii="宋体" w:hAnsi="宋体"/>
                <w:color w:val="FF0000"/>
                <w:sz w:val="21"/>
                <w:szCs w:val="21"/>
              </w:rPr>
              <w:t>正偏离（负偏离或无偏离）</w:t>
            </w:r>
          </w:p>
        </w:tc>
      </w:tr>
    </w:tbl>
    <w:p>
      <w:pPr>
        <w:pStyle w:val="6"/>
        <w:rPr>
          <w:rFonts w:hAnsi="宋体"/>
          <w:sz w:val="16"/>
          <w:szCs w:val="16"/>
        </w:rPr>
      </w:pPr>
      <w:r>
        <w:rPr>
          <w:rFonts w:hint="eastAsia" w:hAnsi="宋体"/>
          <w:sz w:val="16"/>
          <w:szCs w:val="16"/>
          <w:u w:val="single"/>
        </w:rPr>
        <w:t>　　</w:t>
      </w:r>
      <w:r>
        <w:rPr>
          <w:rFonts w:hint="eastAsia" w:hAnsi="宋体"/>
          <w:sz w:val="16"/>
          <w:szCs w:val="16"/>
        </w:rPr>
        <w:t>分项（有分项时填写）</w:t>
      </w:r>
    </w:p>
    <w:p>
      <w:pPr>
        <w:pStyle w:val="6"/>
        <w:rPr>
          <w:rFonts w:hAnsi="宋体"/>
          <w:sz w:val="16"/>
          <w:szCs w:val="16"/>
        </w:rPr>
      </w:pPr>
      <w:r>
        <w:rPr>
          <w:rFonts w:hAnsi="宋体"/>
          <w:sz w:val="16"/>
          <w:szCs w:val="16"/>
        </w:rPr>
        <w:t>......</w:t>
      </w:r>
    </w:p>
    <w:p>
      <w:pPr>
        <w:pStyle w:val="6"/>
        <w:rPr>
          <w:bCs/>
          <w:sz w:val="16"/>
          <w:szCs w:val="16"/>
        </w:rPr>
      </w:pPr>
      <w:r>
        <w:rPr>
          <w:rFonts w:hAnsi="宋体"/>
          <w:sz w:val="16"/>
          <w:szCs w:val="16"/>
        </w:rPr>
        <w:t>注：</w:t>
      </w:r>
      <w:r>
        <w:rPr>
          <w:rFonts w:hint="eastAsia"/>
          <w:bCs/>
          <w:sz w:val="16"/>
          <w:szCs w:val="16"/>
          <w:lang w:eastAsia="zh-CN"/>
        </w:rPr>
        <w:t>（</w:t>
      </w:r>
      <w:r>
        <w:rPr>
          <w:rFonts w:hint="eastAsia"/>
          <w:bCs/>
          <w:sz w:val="16"/>
          <w:szCs w:val="16"/>
          <w:lang w:val="en-US" w:eastAsia="zh-CN"/>
        </w:rPr>
        <w:t>1</w:t>
      </w:r>
      <w:r>
        <w:rPr>
          <w:rFonts w:hint="eastAsia"/>
          <w:bCs/>
          <w:sz w:val="16"/>
          <w:szCs w:val="16"/>
          <w:lang w:eastAsia="zh-CN"/>
        </w:rPr>
        <w:t>）</w:t>
      </w:r>
      <w:r>
        <w:rPr>
          <w:bCs/>
          <w:sz w:val="16"/>
          <w:szCs w:val="16"/>
        </w:rPr>
        <w:t>表格内容均需按要求填写并盖章，不得留空，否则按无效</w:t>
      </w:r>
      <w:r>
        <w:rPr>
          <w:rFonts w:hint="eastAsia"/>
          <w:bCs/>
          <w:sz w:val="16"/>
          <w:szCs w:val="16"/>
        </w:rPr>
        <w:t>响应</w:t>
      </w:r>
      <w:r>
        <w:rPr>
          <w:bCs/>
          <w:sz w:val="16"/>
          <w:szCs w:val="16"/>
        </w:rPr>
        <w:t>处理。</w:t>
      </w:r>
    </w:p>
    <w:p>
      <w:pPr>
        <w:pStyle w:val="6"/>
        <w:ind w:firstLine="320" w:firstLineChars="200"/>
        <w:rPr>
          <w:bCs/>
          <w:sz w:val="16"/>
          <w:szCs w:val="16"/>
        </w:rPr>
      </w:pPr>
      <w:r>
        <w:rPr>
          <w:rFonts w:hint="eastAsia"/>
          <w:bCs/>
          <w:sz w:val="16"/>
          <w:szCs w:val="16"/>
          <w:lang w:val="en-US" w:eastAsia="zh-CN"/>
        </w:rPr>
        <w:t>（2）</w:t>
      </w:r>
      <w:r>
        <w:rPr>
          <w:bCs/>
          <w:sz w:val="16"/>
          <w:szCs w:val="16"/>
          <w:lang w:val="en-US" w:eastAsia="zh-CN"/>
        </w:rPr>
        <w:t>如果</w:t>
      </w:r>
      <w:r>
        <w:rPr>
          <w:rFonts w:hint="eastAsia"/>
          <w:bCs/>
          <w:sz w:val="16"/>
          <w:szCs w:val="16"/>
          <w:lang w:val="en-US" w:eastAsia="zh-CN"/>
        </w:rPr>
        <w:t>采购</w:t>
      </w:r>
      <w:r>
        <w:rPr>
          <w:bCs/>
          <w:sz w:val="16"/>
          <w:szCs w:val="16"/>
          <w:lang w:val="en-US" w:eastAsia="zh-CN"/>
        </w:rPr>
        <w:t>文件需求为小于或大于某个数值标准时，</w:t>
      </w:r>
      <w:r>
        <w:rPr>
          <w:rFonts w:hint="eastAsia"/>
          <w:bCs/>
          <w:sz w:val="16"/>
          <w:szCs w:val="16"/>
          <w:lang w:val="en-US" w:eastAsia="zh-CN"/>
        </w:rPr>
        <w:t>响应</w:t>
      </w:r>
      <w:r>
        <w:rPr>
          <w:bCs/>
          <w:sz w:val="16"/>
          <w:szCs w:val="16"/>
          <w:lang w:val="en-US" w:eastAsia="zh-CN"/>
        </w:rPr>
        <w:t>文件承诺内容应当写明响应承诺的具体</w:t>
      </w:r>
      <w:r>
        <w:rPr>
          <w:rFonts w:hint="eastAsia"/>
          <w:bCs/>
          <w:sz w:val="16"/>
          <w:szCs w:val="16"/>
          <w:lang w:val="en-US" w:eastAsia="zh-CN"/>
        </w:rPr>
        <w:t>内容</w:t>
      </w:r>
      <w:r>
        <w:rPr>
          <w:bCs/>
          <w:sz w:val="16"/>
          <w:szCs w:val="16"/>
          <w:lang w:val="en-US" w:eastAsia="zh-CN"/>
        </w:rPr>
        <w:t>，否则按无效</w:t>
      </w:r>
      <w:r>
        <w:rPr>
          <w:rFonts w:hint="eastAsia"/>
          <w:bCs/>
          <w:sz w:val="16"/>
          <w:szCs w:val="16"/>
          <w:lang w:val="en-US" w:eastAsia="zh-CN"/>
        </w:rPr>
        <w:t>响应</w:t>
      </w:r>
      <w:r>
        <w:rPr>
          <w:bCs/>
          <w:sz w:val="16"/>
          <w:szCs w:val="16"/>
          <w:lang w:val="en-US" w:eastAsia="zh-CN"/>
        </w:rPr>
        <w:t>处理。</w:t>
      </w:r>
    </w:p>
    <w:p>
      <w:pPr>
        <w:pStyle w:val="6"/>
        <w:ind w:firstLine="320" w:firstLineChars="200"/>
        <w:rPr>
          <w:bCs/>
          <w:sz w:val="16"/>
          <w:szCs w:val="16"/>
        </w:rPr>
      </w:pPr>
      <w:r>
        <w:rPr>
          <w:rFonts w:hint="eastAsia"/>
          <w:bCs/>
          <w:sz w:val="16"/>
          <w:szCs w:val="16"/>
          <w:lang w:eastAsia="zh-CN"/>
        </w:rPr>
        <w:t>（</w:t>
      </w:r>
      <w:r>
        <w:rPr>
          <w:rFonts w:hint="eastAsia"/>
          <w:bCs/>
          <w:sz w:val="16"/>
          <w:szCs w:val="16"/>
          <w:lang w:val="en-US" w:eastAsia="zh-CN"/>
        </w:rPr>
        <w:t>3</w:t>
      </w:r>
      <w:r>
        <w:rPr>
          <w:rFonts w:hint="eastAsia"/>
          <w:bCs/>
          <w:sz w:val="16"/>
          <w:szCs w:val="16"/>
          <w:lang w:eastAsia="zh-CN"/>
        </w:rPr>
        <w:t>）</w:t>
      </w:r>
      <w:r>
        <w:rPr>
          <w:bCs/>
          <w:sz w:val="16"/>
          <w:szCs w:val="16"/>
        </w:rPr>
        <w:t>当</w:t>
      </w:r>
      <w:r>
        <w:rPr>
          <w:rFonts w:hint="eastAsia"/>
          <w:bCs/>
          <w:sz w:val="16"/>
          <w:szCs w:val="16"/>
        </w:rPr>
        <w:t>响应</w:t>
      </w:r>
      <w:r>
        <w:rPr>
          <w:bCs/>
          <w:sz w:val="16"/>
          <w:szCs w:val="16"/>
        </w:rPr>
        <w:t>文件的内容低于</w:t>
      </w:r>
      <w:r>
        <w:rPr>
          <w:rFonts w:hint="eastAsia"/>
          <w:bCs/>
          <w:sz w:val="16"/>
          <w:szCs w:val="16"/>
        </w:rPr>
        <w:t>附件1采购需求一览表”</w:t>
      </w:r>
      <w:r>
        <w:rPr>
          <w:bCs/>
          <w:sz w:val="16"/>
          <w:szCs w:val="16"/>
        </w:rPr>
        <w:t>要求时，</w:t>
      </w:r>
      <w:r>
        <w:rPr>
          <w:rFonts w:hint="eastAsia"/>
          <w:bCs/>
          <w:sz w:val="16"/>
          <w:szCs w:val="16"/>
        </w:rPr>
        <w:t>供应商</w:t>
      </w:r>
      <w:r>
        <w:rPr>
          <w:bCs/>
          <w:sz w:val="16"/>
          <w:szCs w:val="16"/>
        </w:rPr>
        <w:t>应当如实写明“负偏离”，否则视为虚假</w:t>
      </w:r>
      <w:r>
        <w:rPr>
          <w:rFonts w:hint="eastAsia"/>
          <w:bCs/>
          <w:sz w:val="16"/>
          <w:szCs w:val="16"/>
        </w:rPr>
        <w:t>响应</w:t>
      </w:r>
      <w:r>
        <w:rPr>
          <w:bCs/>
          <w:sz w:val="16"/>
          <w:szCs w:val="16"/>
        </w:rPr>
        <w:t>。</w:t>
      </w:r>
    </w:p>
    <w:p>
      <w:pPr>
        <w:pStyle w:val="6"/>
        <w:spacing w:line="400" w:lineRule="exact"/>
        <w:rPr>
          <w:rFonts w:hint="eastAsia" w:hAnsi="宋体"/>
          <w:sz w:val="16"/>
          <w:szCs w:val="16"/>
        </w:rPr>
      </w:pPr>
      <w:r>
        <w:rPr>
          <w:rFonts w:hint="eastAsia" w:hAnsi="宋体"/>
          <w:sz w:val="16"/>
          <w:szCs w:val="16"/>
          <w:lang w:eastAsia="zh-CN"/>
        </w:rPr>
        <w:t>供应商</w:t>
      </w:r>
      <w:r>
        <w:rPr>
          <w:rFonts w:hint="eastAsia" w:hAnsi="宋体"/>
          <w:sz w:val="16"/>
          <w:szCs w:val="16"/>
        </w:rPr>
        <w:t>（盖单位公章）：</w:t>
      </w:r>
      <w:bookmarkStart w:id="0" w:name="_Toc521096352"/>
      <w:bookmarkStart w:id="1" w:name="_Toc460253713"/>
    </w:p>
    <w:p>
      <w:pPr>
        <w:pStyle w:val="6"/>
        <w:spacing w:line="400" w:lineRule="exact"/>
        <w:rPr>
          <w:rFonts w:hAnsi="宋体"/>
          <w:sz w:val="16"/>
          <w:szCs w:val="16"/>
        </w:rPr>
      </w:pPr>
      <w:r>
        <w:rPr>
          <w:rFonts w:hint="eastAsia" w:hAnsi="宋体"/>
          <w:sz w:val="16"/>
          <w:szCs w:val="16"/>
        </w:rPr>
        <w:t>法定代表人或其委托代理人（签字或盖章）：</w:t>
      </w:r>
      <w:bookmarkEnd w:id="0"/>
      <w:bookmarkEnd w:id="1"/>
    </w:p>
    <w:p>
      <w:pPr>
        <w:pStyle w:val="3"/>
        <w:outlineLvl w:val="0"/>
        <w:rPr>
          <w:rFonts w:hint="eastAsia" w:ascii="宋体" w:hAnsi="Courier New"/>
          <w:b/>
          <w:sz w:val="32"/>
          <w:szCs w:val="20"/>
          <w:lang w:eastAsia="zh-CN"/>
        </w:rPr>
      </w:pPr>
    </w:p>
    <w:p>
      <w:pPr>
        <w:pStyle w:val="3"/>
        <w:outlineLvl w:val="0"/>
        <w:rPr>
          <w:rFonts w:hint="eastAsia" w:ascii="宋体" w:hAnsi="Courier New"/>
          <w:b/>
          <w:sz w:val="32"/>
          <w:szCs w:val="20"/>
          <w:lang w:eastAsia="zh-CN"/>
        </w:rPr>
      </w:pPr>
    </w:p>
    <w:p>
      <w:pPr>
        <w:pStyle w:val="3"/>
        <w:outlineLvl w:val="0"/>
        <w:rPr>
          <w:rFonts w:hint="eastAsia" w:ascii="宋体" w:hAnsi="Courier New"/>
          <w:b/>
          <w:sz w:val="32"/>
          <w:szCs w:val="20"/>
          <w:lang w:eastAsia="zh-CN"/>
        </w:rPr>
      </w:pPr>
    </w:p>
    <w:p/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B82081"/>
    <w:rsid w:val="49B82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10">
    <w:name w:val="Default Paragraph Font"/>
    <w:semiHidden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Body Text Indent"/>
    <w:basedOn w:val="1"/>
    <w:next w:val="5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5">
    <w:name w:val="envelope return"/>
    <w:basedOn w:val="1"/>
    <w:qFormat/>
    <w:uiPriority w:val="0"/>
    <w:pPr>
      <w:widowControl/>
      <w:adjustRightInd w:val="0"/>
      <w:snapToGrid w:val="0"/>
      <w:spacing w:after="200"/>
      <w:jc w:val="left"/>
    </w:pPr>
    <w:rPr>
      <w:rFonts w:ascii="Arial" w:hAnsi="Arial" w:eastAsia="微软雅黑"/>
      <w:kern w:val="0"/>
      <w:sz w:val="22"/>
      <w:szCs w:val="22"/>
    </w:rPr>
  </w:style>
  <w:style w:type="paragraph" w:styleId="6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7">
    <w:name w:val="Body Text First Indent"/>
    <w:basedOn w:val="3"/>
    <w:qFormat/>
    <w:uiPriority w:val="0"/>
    <w:pPr>
      <w:ind w:firstLine="420" w:firstLineChars="100"/>
    </w:pPr>
  </w:style>
  <w:style w:type="paragraph" w:styleId="8">
    <w:name w:val="Body Text First Indent 2"/>
    <w:basedOn w:val="4"/>
    <w:next w:val="1"/>
    <w:qFormat/>
    <w:uiPriority w:val="0"/>
    <w:pPr>
      <w:spacing w:line="360" w:lineRule="auto"/>
      <w:ind w:firstLine="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2021-07-26T07:32:00Z</dcterms:created>
  <dc:creator>WPS</dc:creator>
  <cp:lastModifiedBy>WPS</cp:lastModifiedBy>
  <dcterms:modified xsi:type="dcterms:W3CDTF">2021-07-26T07:33:11Z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61EA062BAAE046D48D8CACD839167214</vt:lpwstr>
  </property>
</Properties>
</file>