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10845" w:type="dxa"/>
        <w:tblInd w:w="-7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155"/>
        <w:gridCol w:w="3420"/>
        <w:gridCol w:w="1078"/>
        <w:gridCol w:w="3467"/>
        <w:gridCol w:w="10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67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67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050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default" w:hAnsi="宋体"/>
                <w:szCs w:val="21"/>
                <w:lang w:val="en-US"/>
              </w:rPr>
              <w:t>南宁中心血站</w:t>
            </w:r>
            <w:r>
              <w:rPr>
                <w:rFonts w:hint="default" w:hAnsi="宋体"/>
                <w:szCs w:val="21"/>
                <w:lang w:val="en-US" w:eastAsia="zh-CN"/>
              </w:rPr>
              <w:t>办公设备维修</w:t>
            </w:r>
            <w:r>
              <w:rPr>
                <w:rFonts w:hint="default" w:hAnsi="宋体"/>
                <w:szCs w:val="21"/>
                <w:lang w:val="en-US"/>
              </w:rPr>
              <w:t>服务</w:t>
            </w:r>
          </w:p>
        </w:tc>
        <w:tc>
          <w:tcPr>
            <w:tcW w:w="3420" w:type="dxa"/>
            <w:vAlign w:val="center"/>
          </w:tcPr>
          <w:p>
            <w:pPr>
              <w:pStyle w:val="3"/>
              <w:numPr>
                <w:ilvl w:val="0"/>
                <w:numId w:val="0"/>
              </w:numPr>
              <w:rPr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一、</w:t>
            </w:r>
            <w:r>
              <w:rPr>
                <w:rFonts w:hint="eastAsia"/>
                <w:highlight w:val="none"/>
              </w:rPr>
              <w:t>服务要求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提供采购人所规定的软硬件办公设备维护及技术支持（服务时间为一年），以保证采购人软硬件的正常、稳定运行。总体要求如下: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1、软硬件设备包含：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a、计算机设备（服务器、存储及服务器所用软件除外）的所有硬件；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b、电脑周边外设（含打印机、复印机、传真机、打印机一体机、扫描仪、速印机、装订机、碎纸机等）的所有硬件；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c、视频设备（LED显示屏、投影机、幕布）的所有硬件；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d、音响设备（调音台、功放、音箱、麦克风）的所有硬件；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e、关键网络设备类不在此服务内容（防火墙，核心交换机，VPN等关键网络设备）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f、软件类：计算机操作系统、常用办公软件（但不包含网络安全及其它应用软件、专用软件、业务软件如：财务软件、ERP管理软件等等）；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2、以上软硬件由供应商负责维修或更换。如果在保修期内，采购人提供设备保修凭证，由供应商负责联系厂家保修或更换；不在保修期内由供应商负责维修及更换；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3、供应商必须与采购人签订保密协议(投标人起草)，采购人提供所有维保设备资料信息，仅供供应商参与运维的技术人员参考使用，供应商严守资料中所涉内容（设备配置、系统密码、数据文档等）妥善保管，不得遗失、转借、复印，一旦出现泄密事件，将依法追究供应商相关责任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4、供应商保证采购人软硬件办公设备安全、稳定运行。对于采购人出现的软、硬件故障，供应商必须在规定的时间内解决（一般问题4小时内解决，重大问题24小时内解决），否则承担由此造成的损失;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5、驻场工作人员7x24小时待命，接到维修通知后，市区内本部及各服务站点（流动点除外）2个小时内到达现场，其他区内所属血屋4小时到达现场。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6、维护期内采购人新增软硬件产品，均由供应商负责免费维护;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7、供应商需在采购人建立相应备品备件库，报价文件中写明备品备件明细，以满足突发故障的维修需要；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8、供应商需提供1名驻场工程师，要求身体健康、驻场经验丰富。须按下表格式列明为本项目服务的驻场工程师情况:驻场服务人员清单、姓名、年龄、学历、参加工作时间、资质证书或职称、驻场工作经历；</w:t>
            </w:r>
          </w:p>
          <w:p>
            <w:pPr>
              <w:pStyle w:val="3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9、供应商所提供驻场工程师更换必须经采购人同意，采购人如果对驻场服务人员不满意，有权要求更换，供应商必须在收到《人员更换通知》起3个工作日内更换符合本采购要求的驻场工程师；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10、供应商入场后，对每次服务进行相应记录（内容不限于服务内容、服务时限、更换的配件、服务评价（优秀、良好、一般）等需经采购人认可），该服务记录需留存并作为采购人评价服务及验收的依据，发现服务记录作假或服务评价为一般的占服务评价10%及以上的视为服务验收不合格，扣除全年10%服务费用。</w:t>
            </w:r>
          </w:p>
        </w:tc>
        <w:tc>
          <w:tcPr>
            <w:tcW w:w="1078" w:type="dxa"/>
            <w:vAlign w:val="center"/>
          </w:tcPr>
          <w:p>
            <w:pPr>
              <w:rPr>
                <w:rFonts w:hint="default" w:hAnsi="宋体"/>
                <w:szCs w:val="21"/>
                <w:lang w:val="en-US"/>
              </w:rPr>
            </w:pPr>
            <w:r>
              <w:rPr>
                <w:rFonts w:hint="default" w:hAnsi="宋体"/>
                <w:szCs w:val="21"/>
                <w:lang w:val="en-US"/>
              </w:rPr>
              <w:t>南宁中心血站</w:t>
            </w:r>
            <w:r>
              <w:rPr>
                <w:rFonts w:hint="default" w:hAnsi="宋体"/>
                <w:szCs w:val="21"/>
                <w:lang w:val="en-US" w:eastAsia="zh-CN"/>
              </w:rPr>
              <w:t>办公设备维修</w:t>
            </w:r>
            <w:r>
              <w:rPr>
                <w:rFonts w:hint="default" w:hAnsi="宋体"/>
                <w:szCs w:val="21"/>
                <w:lang w:val="en-US"/>
              </w:rPr>
              <w:t>服务</w:t>
            </w:r>
          </w:p>
        </w:tc>
        <w:tc>
          <w:tcPr>
            <w:tcW w:w="346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int="eastAsia" w:hAnsi="宋体"/>
          <w:szCs w:val="21"/>
          <w:lang w:eastAsia="zh-CN"/>
        </w:rPr>
        <w:t>（</w:t>
      </w: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  <w:lang w:eastAsia="zh-CN"/>
        </w:rPr>
        <w:t>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firstLine="420" w:firstLineChars="200"/>
      </w:pPr>
      <w:r>
        <w:rPr>
          <w:rFonts w:hint="eastAsia" w:hAnsi="宋体"/>
          <w:bCs/>
          <w:szCs w:val="21"/>
          <w:lang w:eastAsia="zh-CN"/>
        </w:rPr>
        <w:t>（</w:t>
      </w:r>
      <w:r>
        <w:rPr>
          <w:rFonts w:hint="eastAsia" w:hAnsi="宋体"/>
          <w:bCs/>
          <w:szCs w:val="21"/>
          <w:lang w:val="en-US" w:eastAsia="zh-CN"/>
        </w:rPr>
        <w:t>2</w:t>
      </w:r>
      <w:r>
        <w:rPr>
          <w:rFonts w:hint="eastAsia" w:hAnsi="宋体"/>
          <w:bCs/>
          <w:szCs w:val="21"/>
          <w:lang w:eastAsia="zh-CN"/>
        </w:rPr>
        <w:t>）</w:t>
      </w:r>
      <w:r>
        <w:rPr>
          <w:rFonts w:hAnsi="宋体"/>
          <w:bCs/>
          <w:szCs w:val="21"/>
        </w:rPr>
        <w:t>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ind w:firstLine="420" w:firstLineChars="200"/>
        <w:rPr>
          <w:rFonts w:hint="default" w:eastAsia="黑体"/>
          <w:lang w:val="en-US" w:eastAsia="zh-CN"/>
        </w:rPr>
      </w:pPr>
      <w:r>
        <w:rPr>
          <w:rFonts w:hint="eastAsia"/>
          <w:bCs/>
          <w:szCs w:val="21"/>
          <w:lang w:eastAsia="zh-CN"/>
        </w:rPr>
        <w:t>（</w:t>
      </w:r>
      <w:r>
        <w:rPr>
          <w:rFonts w:hint="eastAsia"/>
          <w:bCs/>
          <w:szCs w:val="21"/>
          <w:lang w:val="en-US" w:eastAsia="zh-CN"/>
        </w:rPr>
        <w:t>3</w:t>
      </w:r>
      <w:r>
        <w:rPr>
          <w:rFonts w:hint="eastAsia"/>
          <w:bCs/>
          <w:szCs w:val="21"/>
          <w:lang w:eastAsia="zh-CN"/>
        </w:rPr>
        <w:t>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  <w:lang w:eastAsia="zh-CN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</w:t>
      </w:r>
      <w:r>
        <w:rPr>
          <w:rFonts w:hint="eastAsia"/>
          <w:bCs/>
          <w:szCs w:val="21"/>
          <w:lang w:eastAsia="zh-CN"/>
        </w:rPr>
        <w:t>（如确定的数值等）</w:t>
      </w:r>
      <w:r>
        <w:rPr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供应商</w:t>
      </w:r>
      <w:r>
        <w:rPr>
          <w:rFonts w:hint="eastAsia" w:hAnsi="宋体"/>
          <w:szCs w:val="21"/>
        </w:rPr>
        <w:t>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>
      <w:pPr>
        <w:pStyle w:val="4"/>
        <w:spacing w:line="400" w:lineRule="exact"/>
        <w:rPr>
          <w:rFonts w:hAnsi="宋体"/>
          <w:szCs w:val="21"/>
        </w:rPr>
      </w:pPr>
    </w:p>
    <w:p/>
    <w:p>
      <w:pPr>
        <w:pStyle w:val="4"/>
        <w:jc w:val="left"/>
        <w:rPr>
          <w:rFonts w:hint="eastAsia"/>
          <w:b/>
          <w:sz w:val="32"/>
          <w:lang w:val="en-US" w:eastAsia="zh-CN"/>
        </w:rPr>
      </w:pPr>
    </w:p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86C3B"/>
    <w:rsid w:val="7A38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2021-08-25T08:55:00Z</dcterms:created>
  <dc:creator>↓灬↓</dc:creator>
  <cp:lastModifiedBy>↓灬↓</cp:lastModifiedBy>
  <dcterms:modified xsi:type="dcterms:W3CDTF">2021-08-25T08:59:49Z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BA1469A298AD467FB13AE7D754D8A585</vt:lpwstr>
  </property>
</Properties>
</file>