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outlineLvl w:val="0"/>
        <w:rPr>
          <w:rFonts w:hint="eastAsia" w:ascii="宋体" w:hAnsi="Courier New"/>
          <w:b/>
          <w:sz w:val="32"/>
          <w:szCs w:val="20"/>
          <w:highlight w:val="none"/>
        </w:rPr>
      </w:pPr>
      <w:r>
        <w:rPr>
          <w:rFonts w:hint="eastAsia" w:ascii="宋体" w:hAnsi="Courier New"/>
          <w:b/>
          <w:sz w:val="32"/>
          <w:szCs w:val="20"/>
          <w:highlight w:val="none"/>
        </w:rPr>
        <w:t>附件2</w:t>
      </w:r>
    </w:p>
    <w:p>
      <w:pPr>
        <w:pStyle w:val="5"/>
        <w:bidi w:val="0"/>
        <w:ind w:firstLine="2108" w:firstLineChars="700"/>
        <w:rPr>
          <w:color w:val="000000" w:themeColor="text1"/>
          <w:sz w:val="32"/>
          <w:szCs w:val="32"/>
          <w:highlight w:val="none"/>
          <w14:textFill>
            <w14:solidFill>
              <w14:schemeClr w14:val="tx1"/>
            </w14:solidFill>
          </w14:textFill>
        </w:rPr>
      </w:pPr>
      <w:r>
        <w:rPr>
          <w:rFonts w:hint="eastAsia" w:asciiTheme="majorEastAsia" w:hAnsiTheme="majorEastAsia" w:eastAsiaTheme="majorEastAsia" w:cstheme="majorEastAsia"/>
          <w:color w:val="000000" w:themeColor="text1"/>
          <w:kern w:val="2"/>
          <w:sz w:val="30"/>
          <w:szCs w:val="30"/>
          <w:highlight w:val="none"/>
          <w:lang w:val="en-US" w:eastAsia="zh-CN" w:bidi="ar-SA"/>
          <w14:textFill>
            <w14:solidFill>
              <w14:schemeClr w14:val="tx1"/>
            </w14:solidFill>
          </w14:textFill>
        </w:rPr>
        <w:t>手动密集架技术参数及性能配置具体要求</w:t>
      </w:r>
    </w:p>
    <w:p>
      <w:pPr>
        <w:pStyle w:val="29"/>
        <w:keepNext/>
        <w:keepLines/>
        <w:spacing w:before="260" w:after="260"/>
        <w:outlineLvl w:val="2"/>
        <w:rPr>
          <w:rFonts w:ascii="Times New Roman" w:hAnsi="Times New Roman" w:cs="Arial"/>
          <w:b/>
          <w:sz w:val="24"/>
          <w:highlight w:val="none"/>
          <w:lang w:val="zh-CN"/>
        </w:rPr>
      </w:pPr>
      <w:bookmarkStart w:id="0" w:name="_Toc11942"/>
      <w:bookmarkStart w:id="1" w:name="_Toc70583223"/>
      <w:bookmarkStart w:id="2" w:name="_Toc10571"/>
      <w:bookmarkStart w:id="3" w:name="_Toc70515943"/>
      <w:r>
        <w:rPr>
          <w:rFonts w:hint="eastAsia" w:ascii="Times New Roman" w:hAnsi="Times New Roman" w:eastAsia="Calibri" w:cs="Arial"/>
          <w:b/>
          <w:sz w:val="24"/>
          <w:highlight w:val="none"/>
          <w:lang w:val="zh-CN"/>
        </w:rPr>
        <w:t>（</w:t>
      </w:r>
      <w:r>
        <w:rPr>
          <w:rFonts w:hint="eastAsia" w:ascii="Times New Roman" w:hAnsi="Times New Roman" w:eastAsia="Calibri" w:cs="Arial"/>
          <w:b/>
          <w:sz w:val="24"/>
          <w:highlight w:val="none"/>
        </w:rPr>
        <w:t>1）</w:t>
      </w:r>
      <w:r>
        <w:rPr>
          <w:rFonts w:hint="eastAsia" w:ascii="Times New Roman" w:hAnsi="Times New Roman" w:cs="Arial"/>
          <w:b/>
          <w:sz w:val="24"/>
          <w:highlight w:val="none"/>
          <w:lang w:val="zh-CN"/>
        </w:rPr>
        <w:t>架体结构性能</w:t>
      </w:r>
      <w:bookmarkEnd w:id="0"/>
      <w:bookmarkEnd w:id="1"/>
      <w:bookmarkEnd w:id="2"/>
      <w:bookmarkEnd w:id="3"/>
    </w:p>
    <w:p>
      <w:pPr>
        <w:pStyle w:val="29"/>
        <w:spacing w:line="360" w:lineRule="auto"/>
        <w:ind w:firstLine="480" w:firstLineChars="200"/>
        <w:rPr>
          <w:rFonts w:ascii="Times New Roman" w:hAnsi="Times New Roman" w:cs="Arial"/>
          <w:kern w:val="2"/>
          <w:sz w:val="24"/>
          <w:szCs w:val="22"/>
          <w:highlight w:val="none"/>
        </w:rPr>
      </w:pPr>
      <w:r>
        <w:rPr>
          <w:rFonts w:hint="eastAsia" w:ascii="Times New Roman" w:hAnsi="Times New Roman" w:cs="Arial"/>
          <w:kern w:val="2"/>
          <w:sz w:val="24"/>
          <w:szCs w:val="22"/>
          <w:highlight w:val="none"/>
        </w:rPr>
        <w:t>1）主要由轨道、底盘、传动机构、架体（立板、搁板、挂板、顶板、门板及侧板）等零（部）件组成。架体顶部设有防尘装置、根据需要安装照明装置，列与列之间装有20mm厚特种抗老化橡塑磁性密封条，形成两列间的全封闭，门面列和中间移动列分别装有锁具和制动装置，每组密集架闭合后可以用总锁锁住，形成一个整体，各列移开后可单独制动，确保人员安全，底部设有防鼠、防倾倒装置，因而整个架体具有良好的防尘、防鼠、防潮、防火、防盗和保密功能。</w:t>
      </w:r>
    </w:p>
    <w:p>
      <w:pPr>
        <w:pStyle w:val="29"/>
        <w:spacing w:line="360" w:lineRule="auto"/>
        <w:ind w:firstLine="480" w:firstLineChars="200"/>
        <w:rPr>
          <w:rFonts w:ascii="Times New Roman" w:hAnsi="Times New Roman" w:cs="Arial"/>
          <w:kern w:val="2"/>
          <w:sz w:val="24"/>
          <w:szCs w:val="22"/>
          <w:highlight w:val="none"/>
        </w:rPr>
      </w:pPr>
      <w:r>
        <w:rPr>
          <w:rFonts w:hint="eastAsia" w:ascii="Times New Roman" w:hAnsi="Times New Roman" w:cs="Arial"/>
          <w:kern w:val="2"/>
          <w:sz w:val="24"/>
          <w:szCs w:val="22"/>
          <w:highlight w:val="none"/>
        </w:rPr>
        <w:t>2）传动机构主要由精铸铁滚轮、传动轴、连接管、调心轴承、精密滚子摩托车链条，机械式自脱超越离合摇手体、多级速比1：6精制链轮等零（部）件组成。为了驱动轻便、平稳，采用中轴带动两边轴的传动方式，手柄摇动轻便、灵活、耐用、美观、无噪声、手柄摇动时能自动挂挡，密集架在从动或不动状态时，摇柄自行停于垂直位置，手柄可折叠，避免了通行障碍。</w:t>
      </w:r>
    </w:p>
    <w:p>
      <w:pPr>
        <w:pStyle w:val="29"/>
        <w:spacing w:line="360" w:lineRule="auto"/>
        <w:ind w:firstLine="480" w:firstLineChars="200"/>
        <w:rPr>
          <w:rFonts w:ascii="Times New Roman" w:hAnsi="Times New Roman" w:cs="Arial"/>
          <w:kern w:val="2"/>
          <w:sz w:val="24"/>
          <w:szCs w:val="22"/>
          <w:highlight w:val="none"/>
        </w:rPr>
      </w:pPr>
      <w:r>
        <w:rPr>
          <w:rFonts w:hint="eastAsia" w:ascii="Times New Roman" w:hAnsi="Times New Roman" w:cs="Arial"/>
          <w:kern w:val="2"/>
          <w:sz w:val="24"/>
          <w:szCs w:val="22"/>
          <w:highlight w:val="none"/>
        </w:rPr>
        <w:t>3）底盘采用分段焊接后整体组装式，连接牢固、运输、安装方便，</w:t>
      </w:r>
      <w:r>
        <w:rPr>
          <w:rFonts w:ascii="Times New Roman" w:hAnsi="Times New Roman" w:eastAsia="Calibri"/>
          <w:kern w:val="2"/>
          <w:sz w:val="24"/>
          <w:szCs w:val="22"/>
          <w:highlight w:val="none"/>
        </w:rPr>
        <w:t>底架为分段组合式，整体焊接而成，运行平稳且加工精度高，具有对接互换性，便于运输和安装，并设有防倾倒装置，防止架体倾倒。用材厚度为3</w:t>
      </w:r>
      <w:r>
        <w:rPr>
          <w:rFonts w:hint="eastAsia" w:ascii="Times New Roman" w:hAnsi="Times New Roman" w:eastAsia="Calibri"/>
          <w:kern w:val="2"/>
          <w:sz w:val="24"/>
          <w:szCs w:val="22"/>
          <w:highlight w:val="none"/>
        </w:rPr>
        <w:t>.0</w:t>
      </w:r>
      <w:r>
        <w:rPr>
          <w:rFonts w:ascii="Times New Roman" w:hAnsi="Times New Roman" w:eastAsia="Calibri"/>
          <w:kern w:val="2"/>
          <w:sz w:val="24"/>
          <w:szCs w:val="22"/>
          <w:highlight w:val="none"/>
        </w:rPr>
        <w:t>mm冷轧钢板，压制成槽型，高度</w:t>
      </w:r>
      <w:r>
        <w:rPr>
          <w:rFonts w:hint="eastAsia" w:ascii="Times New Roman" w:hAnsi="Times New Roman" w:eastAsia="Calibri"/>
          <w:kern w:val="2"/>
          <w:sz w:val="24"/>
          <w:szCs w:val="22"/>
          <w:highlight w:val="none"/>
        </w:rPr>
        <w:t>≥</w:t>
      </w:r>
      <w:r>
        <w:rPr>
          <w:rFonts w:ascii="Times New Roman" w:hAnsi="Times New Roman" w:eastAsia="Calibri"/>
          <w:kern w:val="2"/>
          <w:sz w:val="24"/>
          <w:szCs w:val="22"/>
          <w:highlight w:val="none"/>
        </w:rPr>
        <w:t>1</w:t>
      </w:r>
      <w:r>
        <w:rPr>
          <w:rFonts w:hint="eastAsia" w:ascii="Times New Roman" w:hAnsi="Times New Roman" w:eastAsia="Calibri"/>
          <w:kern w:val="2"/>
          <w:sz w:val="24"/>
          <w:szCs w:val="22"/>
          <w:highlight w:val="none"/>
        </w:rPr>
        <w:t>2</w:t>
      </w:r>
      <w:r>
        <w:rPr>
          <w:rFonts w:ascii="Times New Roman" w:hAnsi="Times New Roman" w:eastAsia="Calibri"/>
          <w:kern w:val="2"/>
          <w:sz w:val="24"/>
          <w:szCs w:val="22"/>
          <w:highlight w:val="none"/>
        </w:rPr>
        <w:t>0mm，并双弯边加强，弯边大于50mm，架体长期荷重存放资料不变形，底盘与立柱连接采用M8*20螺栓，底</w:t>
      </w:r>
      <w:r>
        <w:rPr>
          <w:rFonts w:hint="eastAsia" w:ascii="Times New Roman" w:hAnsi="Times New Roman" w:cs="Arial"/>
          <w:kern w:val="2"/>
          <w:sz w:val="24"/>
          <w:szCs w:val="22"/>
          <w:highlight w:val="none"/>
        </w:rPr>
        <w:t>架装配后的直线平行度不大于0.5mm/m，全长不大于2mm。</w:t>
      </w:r>
    </w:p>
    <w:p>
      <w:pPr>
        <w:pStyle w:val="29"/>
        <w:tabs>
          <w:tab w:val="left" w:pos="0"/>
        </w:tabs>
        <w:wordWrap w:val="0"/>
        <w:topLinePunct/>
        <w:spacing w:line="440" w:lineRule="exact"/>
        <w:ind w:right="95" w:firstLine="480" w:firstLineChars="200"/>
        <w:rPr>
          <w:kern w:val="2"/>
          <w:sz w:val="21"/>
          <w:szCs w:val="22"/>
          <w:highlight w:val="none"/>
        </w:rPr>
      </w:pPr>
      <w:r>
        <w:rPr>
          <w:rFonts w:hint="eastAsia" w:ascii="Times New Roman" w:hAnsi="Times New Roman" w:cs="Arial"/>
          <w:kern w:val="2"/>
          <w:sz w:val="24"/>
          <w:szCs w:val="22"/>
          <w:highlight w:val="none"/>
        </w:rPr>
        <w:t>需提供底架3.0mm的项目公示前的第三方检测报告，其中检测项包括（铅≤0.12,镉≤0.03,铬≤0.12,汞≤0.01，砷≤0.02，锑≤0.02，硬度：≧H，附着力：≧2级，按GB/T3325-2017及GB 18584-2001标准执行检验判定合格），</w:t>
      </w:r>
      <w:r>
        <w:rPr>
          <w:rFonts w:hint="eastAsia" w:cs="宋体"/>
          <w:b/>
          <w:bCs/>
          <w:kern w:val="2"/>
          <w:sz w:val="24"/>
          <w:szCs w:val="22"/>
          <w:highlight w:val="none"/>
          <w:u w:val="single" w:color="FF0000"/>
        </w:rPr>
        <w:t>需提供检验报告复印件并加盖供应商鲜章</w:t>
      </w:r>
      <w:r>
        <w:rPr>
          <w:rFonts w:hint="eastAsia" w:cs="宋体"/>
          <w:b/>
          <w:bCs/>
          <w:color w:val="FF0000"/>
          <w:kern w:val="2"/>
          <w:sz w:val="24"/>
          <w:szCs w:val="22"/>
          <w:highlight w:val="none"/>
          <w:u w:val="single" w:color="FF0000"/>
        </w:rPr>
        <w:t>（原件合同签订前查看）</w:t>
      </w:r>
      <w:r>
        <w:rPr>
          <w:rFonts w:hint="eastAsia" w:cs="宋体"/>
          <w:b/>
          <w:bCs/>
          <w:kern w:val="2"/>
          <w:sz w:val="24"/>
          <w:szCs w:val="22"/>
          <w:highlight w:val="none"/>
          <w:u w:val="single" w:color="FF0000"/>
        </w:rPr>
        <w:t>，网站查询链接及网站查询截图核查。</w:t>
      </w:r>
    </w:p>
    <w:p>
      <w:pPr>
        <w:pStyle w:val="29"/>
        <w:spacing w:line="360" w:lineRule="auto"/>
        <w:ind w:firstLine="480" w:firstLineChars="200"/>
        <w:rPr>
          <w:rFonts w:ascii="Times New Roman" w:hAnsi="Times New Roman" w:cs="Arial"/>
          <w:kern w:val="2"/>
          <w:sz w:val="24"/>
          <w:szCs w:val="22"/>
          <w:highlight w:val="none"/>
        </w:rPr>
      </w:pPr>
      <w:r>
        <w:rPr>
          <w:rFonts w:hint="eastAsia" w:ascii="Times New Roman" w:hAnsi="Times New Roman" w:cs="Arial"/>
          <w:kern w:val="2"/>
          <w:sz w:val="24"/>
          <w:szCs w:val="22"/>
          <w:highlight w:val="none"/>
        </w:rPr>
        <w:t>4）轨芯采用20*20mm实心方钢，路轨两顶端设有限位装置，防止底盘脱轨，路轨保护板采用3.0mm冷轧钢板，轨盒宽115mm，单折边镀锌处理，背面焊接，使之在承重2000kg时不变形。轨道和轨道盒用膨胀螺丝固定在地面上。按规定铺设轨道，轨道的平行偏差≤1mm，轨道之间任何位置的水平偏差≤0.5mm。</w:t>
      </w:r>
    </w:p>
    <w:p>
      <w:pPr>
        <w:pStyle w:val="29"/>
        <w:spacing w:line="360" w:lineRule="auto"/>
        <w:ind w:firstLine="480" w:firstLineChars="200"/>
        <w:rPr>
          <w:rFonts w:ascii="Times New Roman" w:hAnsi="Times New Roman" w:cs="Arial"/>
          <w:kern w:val="2"/>
          <w:sz w:val="24"/>
          <w:szCs w:val="22"/>
          <w:highlight w:val="none"/>
        </w:rPr>
      </w:pPr>
      <w:r>
        <w:rPr>
          <w:rFonts w:hint="eastAsia" w:ascii="Times New Roman" w:hAnsi="Times New Roman" w:cs="Arial"/>
          <w:kern w:val="2"/>
          <w:sz w:val="24"/>
          <w:szCs w:val="22"/>
          <w:highlight w:val="none"/>
        </w:rPr>
        <w:t>5）</w:t>
      </w:r>
      <w:bookmarkStart w:id="4" w:name="_Toc450229930"/>
      <w:bookmarkStart w:id="5" w:name="_Toc46389176"/>
      <w:bookmarkStart w:id="6" w:name="_Toc27562"/>
      <w:bookmarkStart w:id="7" w:name="_Toc435396469"/>
      <w:r>
        <w:rPr>
          <w:rFonts w:hint="eastAsia" w:ascii="Times New Roman" w:hAnsi="Times New Roman" w:cs="宋体"/>
          <w:kern w:val="2"/>
          <w:sz w:val="24"/>
          <w:szCs w:val="24"/>
          <w:highlight w:val="none"/>
        </w:rPr>
        <w:t>◆</w:t>
      </w:r>
      <w:r>
        <w:rPr>
          <w:rFonts w:hint="eastAsia" w:ascii="Times New Roman" w:hAnsi="Times New Roman" w:cs="Arial"/>
          <w:kern w:val="2"/>
          <w:sz w:val="24"/>
          <w:szCs w:val="22"/>
          <w:highlight w:val="none"/>
        </w:rPr>
        <w:t>六凹槽正反组合P形立柱：</w:t>
      </w:r>
      <w:r>
        <w:rPr>
          <w:rFonts w:ascii="Times New Roman" w:hAnsi="Times New Roman" w:cs="Arial"/>
          <w:kern w:val="2"/>
          <w:sz w:val="24"/>
          <w:szCs w:val="22"/>
          <w:highlight w:val="none"/>
        </w:rPr>
        <w:t>①</w:t>
      </w:r>
      <w:r>
        <w:rPr>
          <w:rFonts w:hint="eastAsia" w:ascii="Times New Roman" w:hAnsi="Times New Roman" w:cs="Arial"/>
          <w:kern w:val="2"/>
          <w:sz w:val="24"/>
          <w:szCs w:val="22"/>
          <w:highlight w:val="none"/>
        </w:rPr>
        <w:t>门柱成形，50*39*500mm，采用1.5mm优质冷轧钢板九折边一次滚压成形，尺寸为50*39mm（±1mm）；</w:t>
      </w:r>
      <w:r>
        <w:rPr>
          <w:rFonts w:ascii="Times New Roman" w:hAnsi="Times New Roman" w:cs="Arial"/>
          <w:kern w:val="2"/>
          <w:sz w:val="24"/>
          <w:szCs w:val="22"/>
          <w:highlight w:val="none"/>
        </w:rPr>
        <w:t>②</w:t>
      </w:r>
      <w:r>
        <w:rPr>
          <w:rFonts w:hint="eastAsia" w:ascii="Times New Roman" w:hAnsi="Times New Roman" w:cs="Arial"/>
          <w:kern w:val="2"/>
          <w:sz w:val="24"/>
          <w:szCs w:val="22"/>
          <w:highlight w:val="none"/>
        </w:rPr>
        <w:t>50mm正面压2根R3.5mm圆弧筋，两侧39mm压2根R2.5mm圆弧筋，内侧面一次成形为封闭口字型边设计，外形美观，增强承重能力，立柱均匀冲孔，每个孔间距为13mm，每调一格为38mm ,使层数和间距可按需要调整；</w:t>
      </w:r>
      <w:r>
        <w:rPr>
          <w:rFonts w:ascii="Times New Roman" w:hAnsi="Times New Roman" w:cs="Arial"/>
          <w:kern w:val="2"/>
          <w:sz w:val="24"/>
          <w:szCs w:val="22"/>
          <w:highlight w:val="none"/>
        </w:rPr>
        <w:t>③</w:t>
      </w:r>
      <w:r>
        <w:rPr>
          <w:rFonts w:hint="eastAsia" w:ascii="Times New Roman" w:hAnsi="Times New Roman" w:cs="Arial"/>
          <w:kern w:val="2"/>
          <w:sz w:val="24"/>
          <w:szCs w:val="22"/>
          <w:highlight w:val="none"/>
        </w:rPr>
        <w:t>圆弧筋尺寸为，正面R3.5*4mm（±0.5mm），侧面圆弧筋尺寸为R2.5*3mm（±0.5mm）,立柱正面筋与筋之间为21mm（±1mm），筋到边的距离为14.5mm（±1mm）,两侧面筋到正面边的距离为9.5mm（±1mm），筋与筋之间的间距为23.5mm（±1mm）。（参考详见下图）。合同签订前需提供长为500mm立柱小样一根，如未按要求提供样品将取消中标资格。</w:t>
      </w:r>
    </w:p>
    <w:p>
      <w:pPr>
        <w:pStyle w:val="29"/>
        <w:spacing w:after="120" w:line="360" w:lineRule="auto"/>
        <w:ind w:firstLine="480" w:firstLineChars="200"/>
        <w:rPr>
          <w:rFonts w:cs="宋体"/>
          <w:b/>
          <w:bCs/>
          <w:kern w:val="2"/>
          <w:sz w:val="24"/>
          <w:szCs w:val="22"/>
          <w:highlight w:val="none"/>
          <w:u w:val="single" w:color="FF0000"/>
        </w:rPr>
      </w:pPr>
      <w:r>
        <w:rPr>
          <w:rFonts w:hint="eastAsia" w:ascii="Times New Roman" w:hAnsi="Times New Roman" w:cs="Arial"/>
          <w:kern w:val="2"/>
          <w:sz w:val="24"/>
          <w:szCs w:val="22"/>
          <w:highlight w:val="none"/>
        </w:rPr>
        <w:t>需提供立柱1.5mm的项目公示前的第三方检测报告，其中检测项包括（铅≤0.13,镉≤0.02,铬≤0.15,汞≤0.10，砷≤0.01，锑≤0.01，硬度：≧H，附着力：≧2级，按GB/T3325-2017及GB 18584-2001标准执行检验判定合格），</w:t>
      </w:r>
      <w:r>
        <w:rPr>
          <w:rFonts w:hint="eastAsia" w:cs="宋体"/>
          <w:b/>
          <w:bCs/>
          <w:kern w:val="2"/>
          <w:sz w:val="24"/>
          <w:szCs w:val="22"/>
          <w:highlight w:val="none"/>
          <w:u w:val="single" w:color="FF0000"/>
        </w:rPr>
        <w:t>需提供检验报告复印件并加盖供应商鲜章</w:t>
      </w:r>
      <w:r>
        <w:rPr>
          <w:rFonts w:hint="eastAsia" w:cs="宋体"/>
          <w:b/>
          <w:bCs/>
          <w:color w:val="FF0000"/>
          <w:kern w:val="2"/>
          <w:sz w:val="24"/>
          <w:szCs w:val="22"/>
          <w:highlight w:val="none"/>
          <w:u w:val="single" w:color="FF0000"/>
        </w:rPr>
        <w:t>（原件合同签订前查看）</w:t>
      </w:r>
      <w:r>
        <w:rPr>
          <w:rFonts w:hint="eastAsia" w:cs="宋体"/>
          <w:b/>
          <w:bCs/>
          <w:kern w:val="2"/>
          <w:sz w:val="24"/>
          <w:szCs w:val="22"/>
          <w:highlight w:val="none"/>
          <w:u w:val="single" w:color="FF0000"/>
        </w:rPr>
        <w:t>，网站查询链接及网站查询截图核查。</w:t>
      </w:r>
    </w:p>
    <w:p>
      <w:pPr>
        <w:pStyle w:val="29"/>
        <w:jc w:val="center"/>
        <w:rPr>
          <w:rFonts w:ascii="Times New Roman" w:hAnsi="Times New Roman"/>
          <w:kern w:val="2"/>
          <w:sz w:val="21"/>
          <w:szCs w:val="22"/>
          <w:highlight w:val="none"/>
        </w:rPr>
      </w:pPr>
      <w:r>
        <w:rPr>
          <w:rFonts w:hint="eastAsia" w:ascii="Times New Roman" w:hAnsi="Times New Roman"/>
          <w:kern w:val="2"/>
          <w:sz w:val="21"/>
          <w:szCs w:val="22"/>
          <w:highlight w:val="none"/>
        </w:rPr>
        <w:drawing>
          <wp:inline distT="0" distB="0" distL="114300" distR="114300">
            <wp:extent cx="4909820" cy="1442085"/>
            <wp:effectExtent l="0" t="0" r="5080" b="5715"/>
            <wp:docPr id="2" name="图片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23"/>
                    <pic:cNvPicPr>
                      <a:picLocks noChangeAspect="1"/>
                    </pic:cNvPicPr>
                  </pic:nvPicPr>
                  <pic:blipFill>
                    <a:blip r:embed="rId4"/>
                    <a:stretch>
                      <a:fillRect/>
                    </a:stretch>
                  </pic:blipFill>
                  <pic:spPr>
                    <a:xfrm>
                      <a:off x="0" y="0"/>
                      <a:ext cx="4909820" cy="1442085"/>
                    </a:xfrm>
                    <a:prstGeom prst="rect">
                      <a:avLst/>
                    </a:prstGeom>
                    <a:noFill/>
                    <a:ln>
                      <a:noFill/>
                    </a:ln>
                  </pic:spPr>
                </pic:pic>
              </a:graphicData>
            </a:graphic>
          </wp:inline>
        </w:drawing>
      </w:r>
    </w:p>
    <w:p>
      <w:pPr>
        <w:pStyle w:val="29"/>
        <w:spacing w:line="360" w:lineRule="auto"/>
        <w:ind w:firstLine="480" w:firstLineChars="200"/>
        <w:rPr>
          <w:rFonts w:ascii="Times New Roman" w:hAnsi="Times New Roman" w:cs="Arial"/>
          <w:kern w:val="2"/>
          <w:sz w:val="24"/>
          <w:szCs w:val="22"/>
          <w:highlight w:val="none"/>
        </w:rPr>
      </w:pPr>
      <w:r>
        <w:rPr>
          <w:rFonts w:hint="eastAsia" w:ascii="Times New Roman" w:hAnsi="Times New Roman" w:cs="宋体"/>
          <w:kern w:val="2"/>
          <w:sz w:val="24"/>
          <w:szCs w:val="24"/>
          <w:highlight w:val="none"/>
        </w:rPr>
        <w:t>6）◆</w:t>
      </w:r>
      <w:r>
        <w:rPr>
          <w:rFonts w:hint="eastAsia" w:ascii="Times New Roman" w:hAnsi="Times New Roman" w:cs="Arial"/>
          <w:kern w:val="2"/>
          <w:sz w:val="24"/>
          <w:szCs w:val="22"/>
          <w:highlight w:val="none"/>
        </w:rPr>
        <w:t>搁板：搁板采用≥1.</w:t>
      </w:r>
      <w:r>
        <w:rPr>
          <w:rFonts w:hint="eastAsia" w:ascii="Times New Roman" w:hAnsi="Times New Roman" w:cs="Arial" w:eastAsiaTheme="minorEastAsia"/>
          <w:kern w:val="2"/>
          <w:sz w:val="24"/>
          <w:szCs w:val="22"/>
          <w:highlight w:val="none"/>
        </w:rPr>
        <w:t>0</w:t>
      </w:r>
      <w:r>
        <w:rPr>
          <w:rFonts w:hint="eastAsia" w:ascii="Times New Roman" w:hAnsi="Times New Roman" w:cs="Arial"/>
          <w:kern w:val="2"/>
          <w:sz w:val="24"/>
          <w:szCs w:val="22"/>
          <w:highlight w:val="none"/>
        </w:rPr>
        <w:t>mm 冷轧板经双面三次折弯翻边成形，搁板厚度≥25mm, 搁板正面压2根筋，筋宽度为 7.24mm（+/-0.3），深 2.3mm(+/-0.3)，搁板两侧面各压一条副筋,筋宽度为 7.24mm（+/-0.3），深 2.3mm(+/-0.3)，结构坚固合理，使用方便，每层标准承重≥80kg。合同签订前</w:t>
      </w:r>
      <w:r>
        <w:rPr>
          <w:rFonts w:hint="eastAsia" w:ascii="Times New Roman" w:hAnsi="Times New Roman" w:cs="Arial"/>
          <w:kern w:val="2"/>
          <w:sz w:val="24"/>
          <w:szCs w:val="24"/>
          <w:highlight w:val="none"/>
        </w:rPr>
        <w:t>需提供</w:t>
      </w:r>
      <w:r>
        <w:rPr>
          <w:rFonts w:hint="eastAsia" w:ascii="宋体" w:hAnsi="宋体" w:cs="宋体"/>
          <w:color w:val="000000"/>
          <w:kern w:val="2"/>
          <w:sz w:val="24"/>
          <w:szCs w:val="24"/>
          <w:highlight w:val="none"/>
        </w:rPr>
        <w:t>宽233mm*长300mm</w:t>
      </w:r>
      <w:r>
        <w:rPr>
          <w:rFonts w:hint="eastAsia" w:ascii="Times New Roman" w:hAnsi="Times New Roman" w:cs="Arial"/>
          <w:kern w:val="2"/>
          <w:sz w:val="24"/>
          <w:szCs w:val="24"/>
          <w:highlight w:val="none"/>
        </w:rPr>
        <w:t>搁板小样一块</w:t>
      </w:r>
      <w:r>
        <w:rPr>
          <w:rFonts w:hint="eastAsia" w:ascii="Times New Roman" w:hAnsi="Times New Roman" w:cs="Arial"/>
          <w:kern w:val="2"/>
          <w:sz w:val="24"/>
          <w:szCs w:val="22"/>
          <w:highlight w:val="none"/>
        </w:rPr>
        <w:t>，如未按要求提供样品将取消中标资格</w:t>
      </w:r>
      <w:r>
        <w:rPr>
          <w:rFonts w:hint="eastAsia" w:ascii="Times New Roman" w:hAnsi="Times New Roman" w:cs="Arial"/>
          <w:kern w:val="2"/>
          <w:sz w:val="24"/>
          <w:szCs w:val="24"/>
          <w:highlight w:val="none"/>
        </w:rPr>
        <w:t>。</w:t>
      </w:r>
    </w:p>
    <w:p>
      <w:pPr>
        <w:pStyle w:val="29"/>
        <w:tabs>
          <w:tab w:val="left" w:pos="0"/>
        </w:tabs>
        <w:wordWrap w:val="0"/>
        <w:topLinePunct/>
        <w:spacing w:line="360" w:lineRule="auto"/>
        <w:ind w:right="95" w:firstLine="480" w:firstLineChars="200"/>
        <w:rPr>
          <w:rFonts w:cs="宋体"/>
          <w:b/>
          <w:bCs/>
          <w:kern w:val="2"/>
          <w:sz w:val="24"/>
          <w:szCs w:val="22"/>
          <w:highlight w:val="none"/>
          <w:u w:val="single" w:color="FF0000"/>
        </w:rPr>
      </w:pPr>
      <w:r>
        <w:rPr>
          <w:rFonts w:hint="eastAsia" w:ascii="Times New Roman" w:hAnsi="Times New Roman" w:cs="Arial"/>
          <w:kern w:val="2"/>
          <w:sz w:val="24"/>
          <w:szCs w:val="22"/>
          <w:highlight w:val="none"/>
        </w:rPr>
        <w:t>需提供搁板的项目公示前的第三方检测报告，其中检测项包括（铅≤0.15,镉≤0.03,铬≤0.11,汞≤0.10，砷≤0.02，锑≤0.02,硬度：≧H，附着力：≧2级，按GB/T3325-2017及GB 18584-2001标准执行检验判定合格），</w:t>
      </w:r>
      <w:r>
        <w:rPr>
          <w:rFonts w:hint="eastAsia" w:cs="宋体"/>
          <w:b/>
          <w:bCs/>
          <w:kern w:val="2"/>
          <w:sz w:val="24"/>
          <w:szCs w:val="22"/>
          <w:highlight w:val="none"/>
          <w:u w:val="single" w:color="FF0000"/>
        </w:rPr>
        <w:t>需提供检验报告复印件并加盖供应商鲜章</w:t>
      </w:r>
      <w:r>
        <w:rPr>
          <w:rFonts w:hint="eastAsia" w:cs="宋体"/>
          <w:b/>
          <w:bCs/>
          <w:color w:val="FF0000"/>
          <w:kern w:val="2"/>
          <w:sz w:val="24"/>
          <w:szCs w:val="22"/>
          <w:highlight w:val="none"/>
          <w:u w:val="single" w:color="FF0000"/>
        </w:rPr>
        <w:t>（原件合同签订前查看）</w:t>
      </w:r>
      <w:r>
        <w:rPr>
          <w:rFonts w:hint="eastAsia" w:cs="宋体"/>
          <w:b/>
          <w:bCs/>
          <w:kern w:val="2"/>
          <w:sz w:val="24"/>
          <w:szCs w:val="22"/>
          <w:highlight w:val="none"/>
          <w:u w:val="single" w:color="FF0000"/>
        </w:rPr>
        <w:t>，网站查询链接及网站查询截图核查。</w:t>
      </w:r>
    </w:p>
    <w:p>
      <w:pPr>
        <w:pStyle w:val="29"/>
        <w:wordWrap w:val="0"/>
        <w:topLinePunct/>
        <w:adjustRightInd w:val="0"/>
        <w:snapToGrid w:val="0"/>
        <w:ind w:right="95" w:firstLine="480" w:firstLineChars="200"/>
        <w:jc w:val="center"/>
        <w:rPr>
          <w:rFonts w:ascii="Times New Roman" w:hAnsi="Times New Roman"/>
          <w:kern w:val="2"/>
          <w:sz w:val="24"/>
          <w:szCs w:val="22"/>
          <w:highlight w:val="none"/>
        </w:rPr>
      </w:pPr>
      <w:r>
        <w:rPr>
          <w:rFonts w:ascii="Times New Roman" w:hAnsi="Times New Roman"/>
          <w:kern w:val="2"/>
          <w:sz w:val="24"/>
          <w:szCs w:val="22"/>
          <w:highlight w:val="none"/>
        </w:rPr>
        <w:drawing>
          <wp:inline distT="0" distB="0" distL="114300" distR="114300">
            <wp:extent cx="4923790" cy="1174750"/>
            <wp:effectExtent l="0" t="0" r="10160"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4923790" cy="1174750"/>
                    </a:xfrm>
                    <a:prstGeom prst="rect">
                      <a:avLst/>
                    </a:prstGeom>
                    <a:noFill/>
                    <a:ln>
                      <a:noFill/>
                    </a:ln>
                  </pic:spPr>
                </pic:pic>
              </a:graphicData>
            </a:graphic>
          </wp:inline>
        </w:drawing>
      </w:r>
    </w:p>
    <w:p>
      <w:pPr>
        <w:pStyle w:val="29"/>
        <w:spacing w:line="360" w:lineRule="auto"/>
        <w:ind w:firstLine="480" w:firstLineChars="200"/>
        <w:rPr>
          <w:rFonts w:ascii="宋体" w:hAnsi="宋体" w:cs="宋体"/>
          <w:color w:val="000000"/>
          <w:kern w:val="2"/>
          <w:sz w:val="21"/>
          <w:szCs w:val="21"/>
          <w:highlight w:val="none"/>
        </w:rPr>
      </w:pPr>
      <w:r>
        <w:rPr>
          <w:rFonts w:hint="eastAsia" w:ascii="Times New Roman" w:hAnsi="Times New Roman" w:cs="宋体"/>
          <w:kern w:val="2"/>
          <w:sz w:val="24"/>
          <w:szCs w:val="24"/>
          <w:highlight w:val="none"/>
        </w:rPr>
        <w:t>7）◆</w:t>
      </w:r>
      <w:r>
        <w:rPr>
          <w:rFonts w:hint="eastAsia" w:ascii="Times New Roman" w:hAnsi="Times New Roman" w:cs="Arial"/>
          <w:kern w:val="2"/>
          <w:sz w:val="24"/>
          <w:szCs w:val="22"/>
          <w:highlight w:val="none"/>
        </w:rPr>
        <w:t>楔形十字扣挂板:挂板采用≥1.</w:t>
      </w:r>
      <w:r>
        <w:rPr>
          <w:rFonts w:hint="eastAsia" w:ascii="Times New Roman" w:hAnsi="Times New Roman" w:cs="Arial" w:eastAsiaTheme="minorEastAsia"/>
          <w:kern w:val="2"/>
          <w:sz w:val="24"/>
          <w:szCs w:val="22"/>
          <w:highlight w:val="none"/>
        </w:rPr>
        <w:t>0</w:t>
      </w:r>
      <w:r>
        <w:rPr>
          <w:rFonts w:hint="eastAsia" w:ascii="Times New Roman" w:hAnsi="Times New Roman" w:cs="Arial"/>
          <w:kern w:val="2"/>
          <w:sz w:val="24"/>
          <w:szCs w:val="22"/>
          <w:highlight w:val="none"/>
        </w:rPr>
        <w:t>mm冷轧钢板，</w:t>
      </w:r>
      <w:r>
        <w:rPr>
          <w:rFonts w:ascii="Times New Roman" w:hAnsi="Times New Roman" w:cs="Arial"/>
          <w:kern w:val="2"/>
          <w:sz w:val="24"/>
          <w:szCs w:val="22"/>
          <w:highlight w:val="none"/>
        </w:rPr>
        <w:t>①</w:t>
      </w:r>
      <w:r>
        <w:rPr>
          <w:rFonts w:hint="eastAsia" w:ascii="Times New Roman" w:hAnsi="Times New Roman" w:cs="Arial"/>
          <w:kern w:val="2"/>
          <w:sz w:val="24"/>
          <w:szCs w:val="22"/>
          <w:highlight w:val="none"/>
        </w:rPr>
        <w:t>采用一次成型机成型，挂板两端两排六斜楔扣结构设计，中间腰形拉伸翻边模成形，两个台阶加强孔，孔上下位置设有四根圆筋，挂板上下端直角折弯，并冲有四个托板扣，使托板两边卡在挂板上，组装后平整、牢固，承重性好，可防止托板前后窜动，通用性、互换性好；</w:t>
      </w:r>
      <w:r>
        <w:rPr>
          <w:rFonts w:ascii="Times New Roman" w:hAnsi="Times New Roman" w:cs="Arial"/>
          <w:kern w:val="2"/>
          <w:sz w:val="24"/>
          <w:szCs w:val="22"/>
          <w:highlight w:val="none"/>
        </w:rPr>
        <w:t>②</w:t>
      </w:r>
      <w:r>
        <w:rPr>
          <w:rFonts w:hint="eastAsia" w:ascii="Times New Roman" w:hAnsi="Times New Roman" w:cs="Arial"/>
          <w:kern w:val="2"/>
          <w:sz w:val="24"/>
          <w:szCs w:val="22"/>
          <w:highlight w:val="none"/>
        </w:rPr>
        <w:t>挂板与立柱之间连接方式采用六斜楔扣扣接，六斜楔挂板越受力其扣接就越紧，比传统挂扣式、挂钩式挂板，强度高、承重性能更优越，挂板与立柱对接扣处无松动，更紧贴牢固，调节间距更小，更实用。（参考详见下图）。合同签订前</w:t>
      </w:r>
      <w:r>
        <w:rPr>
          <w:rFonts w:hint="eastAsia" w:ascii="Times New Roman" w:hAnsi="Times New Roman" w:cs="Arial"/>
          <w:kern w:val="2"/>
          <w:sz w:val="24"/>
          <w:szCs w:val="24"/>
          <w:highlight w:val="none"/>
        </w:rPr>
        <w:t>需提供</w:t>
      </w:r>
      <w:r>
        <w:rPr>
          <w:rFonts w:hint="eastAsia" w:ascii="宋体" w:hAnsi="宋体" w:cs="宋体"/>
          <w:color w:val="000000"/>
          <w:kern w:val="2"/>
          <w:sz w:val="24"/>
          <w:szCs w:val="24"/>
          <w:highlight w:val="none"/>
        </w:rPr>
        <w:t>宽135mm*长420mm挂板小样一块</w:t>
      </w:r>
      <w:r>
        <w:rPr>
          <w:rFonts w:hint="eastAsia" w:ascii="Times New Roman" w:hAnsi="Times New Roman" w:cs="Arial"/>
          <w:kern w:val="2"/>
          <w:sz w:val="24"/>
          <w:szCs w:val="22"/>
          <w:highlight w:val="none"/>
        </w:rPr>
        <w:t>，如未按要求提供样品将取消中标资格</w:t>
      </w:r>
      <w:r>
        <w:rPr>
          <w:rFonts w:hint="eastAsia" w:ascii="宋体" w:hAnsi="宋体" w:cs="宋体"/>
          <w:color w:val="000000"/>
          <w:kern w:val="2"/>
          <w:sz w:val="24"/>
          <w:szCs w:val="24"/>
          <w:highlight w:val="none"/>
        </w:rPr>
        <w:t>。</w:t>
      </w:r>
    </w:p>
    <w:p>
      <w:pPr>
        <w:pStyle w:val="29"/>
        <w:tabs>
          <w:tab w:val="left" w:pos="0"/>
        </w:tabs>
        <w:wordWrap w:val="0"/>
        <w:topLinePunct/>
        <w:spacing w:line="360" w:lineRule="auto"/>
        <w:ind w:right="95" w:firstLine="480" w:firstLineChars="200"/>
        <w:rPr>
          <w:rFonts w:cs="宋体"/>
          <w:kern w:val="2"/>
          <w:sz w:val="24"/>
          <w:szCs w:val="22"/>
          <w:highlight w:val="none"/>
        </w:rPr>
      </w:pPr>
      <w:r>
        <w:rPr>
          <w:rFonts w:hint="eastAsia" w:ascii="Times New Roman" w:hAnsi="Times New Roman" w:cs="Arial"/>
          <w:kern w:val="2"/>
          <w:sz w:val="24"/>
          <w:szCs w:val="22"/>
          <w:highlight w:val="none"/>
        </w:rPr>
        <w:t>需提供挂板的项目公示前的第三方检测报告，其中检测项包括（铅≤0.15,镉≤0.02,铬≤0.15,汞≤0.09，砷≤0.02，锑≤0.02,硬度：≧H，附着力：≧2级，按GB/T3325-2017及GB 18584-2001标准执行检验判定合格），</w:t>
      </w:r>
      <w:r>
        <w:rPr>
          <w:rFonts w:hint="eastAsia" w:cs="宋体"/>
          <w:b/>
          <w:bCs/>
          <w:kern w:val="2"/>
          <w:sz w:val="24"/>
          <w:szCs w:val="22"/>
          <w:highlight w:val="none"/>
          <w:u w:val="single" w:color="FF0000"/>
        </w:rPr>
        <w:t>需提供检验报告复印件并加盖供应商鲜章</w:t>
      </w:r>
      <w:r>
        <w:rPr>
          <w:rFonts w:hint="eastAsia" w:cs="宋体"/>
          <w:b/>
          <w:bCs/>
          <w:color w:val="FF0000"/>
          <w:kern w:val="2"/>
          <w:sz w:val="24"/>
          <w:szCs w:val="22"/>
          <w:highlight w:val="none"/>
          <w:u w:val="single" w:color="FF0000"/>
        </w:rPr>
        <w:t>（原件合同签订前查看）</w:t>
      </w:r>
      <w:r>
        <w:rPr>
          <w:rFonts w:hint="eastAsia" w:cs="宋体"/>
          <w:b/>
          <w:bCs/>
          <w:kern w:val="2"/>
          <w:sz w:val="24"/>
          <w:szCs w:val="22"/>
          <w:highlight w:val="none"/>
          <w:u w:val="single" w:color="FF0000"/>
        </w:rPr>
        <w:t>，网站查询链接及网站查询截图核查。</w:t>
      </w:r>
    </w:p>
    <w:p>
      <w:pPr>
        <w:pStyle w:val="29"/>
        <w:wordWrap w:val="0"/>
        <w:topLinePunct/>
        <w:adjustRightInd w:val="0"/>
        <w:snapToGrid w:val="0"/>
        <w:ind w:right="95"/>
        <w:jc w:val="center"/>
        <w:rPr>
          <w:rFonts w:ascii="Times New Roman" w:hAnsi="Times New Roman" w:cs="宋体"/>
          <w:kern w:val="2"/>
          <w:sz w:val="24"/>
          <w:szCs w:val="24"/>
          <w:highlight w:val="none"/>
        </w:rPr>
      </w:pPr>
      <w:r>
        <w:rPr>
          <w:rFonts w:hint="eastAsia" w:ascii="Times New Roman" w:hAnsi="Times New Roman" w:cs="宋体"/>
          <w:kern w:val="2"/>
          <w:sz w:val="24"/>
          <w:szCs w:val="24"/>
          <w:highlight w:val="none"/>
        </w:rPr>
        <w:drawing>
          <wp:inline distT="0" distB="0" distL="114300" distR="114300">
            <wp:extent cx="3749040" cy="2574290"/>
            <wp:effectExtent l="0" t="0" r="3810" b="16510"/>
            <wp:docPr id="4" name="图片 3" descr="新式挂板2020-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新式挂板2020-12-14"/>
                    <pic:cNvPicPr>
                      <a:picLocks noChangeAspect="1"/>
                    </pic:cNvPicPr>
                  </pic:nvPicPr>
                  <pic:blipFill>
                    <a:blip r:embed="rId6"/>
                    <a:stretch>
                      <a:fillRect/>
                    </a:stretch>
                  </pic:blipFill>
                  <pic:spPr>
                    <a:xfrm>
                      <a:off x="0" y="0"/>
                      <a:ext cx="3749040" cy="2574290"/>
                    </a:xfrm>
                    <a:prstGeom prst="rect">
                      <a:avLst/>
                    </a:prstGeom>
                    <a:noFill/>
                    <a:ln>
                      <a:noFill/>
                    </a:ln>
                  </pic:spPr>
                </pic:pic>
              </a:graphicData>
            </a:graphic>
          </wp:inline>
        </w:drawing>
      </w:r>
    </w:p>
    <w:p>
      <w:pPr>
        <w:pStyle w:val="29"/>
        <w:spacing w:line="360" w:lineRule="auto"/>
        <w:ind w:firstLine="480" w:firstLineChars="200"/>
        <w:rPr>
          <w:rFonts w:ascii="宋体" w:hAnsi="宋体" w:cs="宋体"/>
          <w:color w:val="000000"/>
          <w:kern w:val="2"/>
          <w:sz w:val="24"/>
          <w:szCs w:val="24"/>
          <w:highlight w:val="none"/>
        </w:rPr>
      </w:pPr>
      <w:r>
        <w:rPr>
          <w:rFonts w:hint="eastAsia" w:ascii="Times New Roman" w:hAnsi="Times New Roman" w:cs="宋体"/>
          <w:kern w:val="2"/>
          <w:sz w:val="24"/>
          <w:szCs w:val="24"/>
          <w:highlight w:val="none"/>
        </w:rPr>
        <w:t>8）◆</w:t>
      </w:r>
      <w:r>
        <w:rPr>
          <w:rFonts w:hint="eastAsia" w:ascii="Times New Roman" w:hAnsi="Times New Roman" w:cs="Arial"/>
          <w:kern w:val="2"/>
          <w:sz w:val="24"/>
          <w:szCs w:val="22"/>
          <w:highlight w:val="none"/>
        </w:rPr>
        <w:t>侧板：采用≥1.</w:t>
      </w:r>
      <w:r>
        <w:rPr>
          <w:rFonts w:hint="eastAsia" w:ascii="Times New Roman" w:hAnsi="Times New Roman" w:cs="Arial" w:eastAsiaTheme="minorEastAsia"/>
          <w:kern w:val="2"/>
          <w:sz w:val="24"/>
          <w:szCs w:val="22"/>
          <w:highlight w:val="none"/>
        </w:rPr>
        <w:t>0</w:t>
      </w:r>
      <w:r>
        <w:rPr>
          <w:rFonts w:hint="eastAsia" w:ascii="Times New Roman" w:hAnsi="Times New Roman" w:cs="Arial"/>
          <w:kern w:val="2"/>
          <w:sz w:val="24"/>
          <w:szCs w:val="22"/>
          <w:highlight w:val="none"/>
        </w:rPr>
        <w:t>mm优质冷轧钢板；</w:t>
      </w:r>
      <w:r>
        <w:rPr>
          <w:rFonts w:hint="eastAsia" w:ascii="Times New Roman" w:hAnsi="Times New Roman" w:eastAsia="Calibri" w:cs="Arial"/>
          <w:kern w:val="2"/>
          <w:sz w:val="24"/>
          <w:szCs w:val="22"/>
          <w:highlight w:val="none"/>
        </w:rPr>
        <w:t>采用上中下三节段结构，</w:t>
      </w:r>
      <w:r>
        <w:rPr>
          <w:rFonts w:hint="eastAsia" w:ascii="Times New Roman" w:hAnsi="Times New Roman" w:cs="Arial"/>
          <w:kern w:val="2"/>
          <w:sz w:val="24"/>
          <w:szCs w:val="22"/>
          <w:highlight w:val="none"/>
        </w:rPr>
        <w:t>拉伸筋宽度为 6.0mm（±0.2），深2.2mm(±0.2)</w:t>
      </w:r>
      <w:r>
        <w:rPr>
          <w:rFonts w:hint="eastAsia" w:ascii="Times New Roman" w:hAnsi="Times New Roman" w:eastAsia="Calibri" w:cs="Arial"/>
          <w:kern w:val="2"/>
          <w:sz w:val="24"/>
          <w:szCs w:val="22"/>
          <w:highlight w:val="none"/>
        </w:rPr>
        <w:t>，</w:t>
      </w:r>
      <w:r>
        <w:rPr>
          <w:rFonts w:hint="eastAsia" w:ascii="Times New Roman" w:hAnsi="Times New Roman" w:cs="Arial"/>
          <w:kern w:val="2"/>
          <w:sz w:val="24"/>
          <w:szCs w:val="22"/>
          <w:highlight w:val="none"/>
        </w:rPr>
        <w:t>中腰板为400mm*550mm，中间冲菱形塔包，每个菱形塔包顶部尺寸为8mm*5.12mm，底部外型尺寸为25mm*16mm,菱形塔包高度为3mm。合同签订前</w:t>
      </w:r>
      <w:r>
        <w:rPr>
          <w:rFonts w:hint="eastAsia" w:ascii="Times New Roman" w:hAnsi="Times New Roman" w:cs="Arial"/>
          <w:kern w:val="2"/>
          <w:sz w:val="24"/>
          <w:szCs w:val="24"/>
          <w:highlight w:val="none"/>
        </w:rPr>
        <w:t>需提供</w:t>
      </w:r>
      <w:r>
        <w:rPr>
          <w:rFonts w:hint="eastAsia" w:ascii="宋体" w:hAnsi="宋体" w:cs="宋体"/>
          <w:color w:val="000000"/>
          <w:kern w:val="2"/>
          <w:sz w:val="24"/>
          <w:szCs w:val="24"/>
          <w:highlight w:val="none"/>
        </w:rPr>
        <w:t>宽550mm*长400mm侧板小样一块</w:t>
      </w:r>
      <w:r>
        <w:rPr>
          <w:rFonts w:hint="eastAsia" w:ascii="Times New Roman" w:hAnsi="Times New Roman" w:cs="Arial"/>
          <w:kern w:val="2"/>
          <w:sz w:val="24"/>
          <w:szCs w:val="22"/>
          <w:highlight w:val="none"/>
        </w:rPr>
        <w:t>，如未按要求提供样品将取消中标资格。</w:t>
      </w:r>
    </w:p>
    <w:p>
      <w:pPr>
        <w:pStyle w:val="29"/>
        <w:tabs>
          <w:tab w:val="left" w:pos="0"/>
        </w:tabs>
        <w:wordWrap w:val="0"/>
        <w:topLinePunct/>
        <w:spacing w:line="360" w:lineRule="auto"/>
        <w:ind w:right="95" w:firstLine="480" w:firstLineChars="200"/>
        <w:rPr>
          <w:rFonts w:cs="宋体"/>
          <w:b/>
          <w:bCs/>
          <w:kern w:val="2"/>
          <w:sz w:val="24"/>
          <w:szCs w:val="22"/>
          <w:highlight w:val="none"/>
          <w:u w:val="single" w:color="FF0000"/>
        </w:rPr>
      </w:pPr>
      <w:r>
        <w:rPr>
          <w:rFonts w:hint="eastAsia" w:ascii="Times New Roman" w:hAnsi="Times New Roman" w:cs="Arial"/>
          <w:kern w:val="2"/>
          <w:sz w:val="24"/>
          <w:szCs w:val="22"/>
          <w:highlight w:val="none"/>
        </w:rPr>
        <w:t>需提供侧板的项目公示前的第三方检测报告，其中检测项包括（铅≤0.14,镉≤0.02,铬≤0.12,汞≤0.10，砷≤0.02，锑≤0.01，硬度：≧H，附着力：≧2级，按GB/T3325-2017及GB 18584-2001标准执行检验判定合格）</w:t>
      </w:r>
      <w:r>
        <w:rPr>
          <w:rFonts w:hint="eastAsia" w:cs="宋体"/>
          <w:b/>
          <w:bCs/>
          <w:kern w:val="2"/>
          <w:sz w:val="24"/>
          <w:szCs w:val="22"/>
          <w:highlight w:val="none"/>
          <w:u w:val="single" w:color="FF0000"/>
        </w:rPr>
        <w:t>需提供检验报告复印件并加盖供应商鲜章</w:t>
      </w:r>
      <w:r>
        <w:rPr>
          <w:rFonts w:hint="eastAsia" w:cs="宋体"/>
          <w:b/>
          <w:bCs/>
          <w:color w:val="FF0000"/>
          <w:kern w:val="2"/>
          <w:sz w:val="24"/>
          <w:szCs w:val="22"/>
          <w:highlight w:val="none"/>
          <w:u w:val="single" w:color="FF0000"/>
        </w:rPr>
        <w:t>（原件合同签订前查看）</w:t>
      </w:r>
      <w:r>
        <w:rPr>
          <w:rFonts w:hint="eastAsia" w:cs="宋体"/>
          <w:b/>
          <w:bCs/>
          <w:kern w:val="2"/>
          <w:sz w:val="24"/>
          <w:szCs w:val="22"/>
          <w:highlight w:val="none"/>
          <w:u w:val="single" w:color="FF0000"/>
        </w:rPr>
        <w:t>，网站查询链接及网站查询截图核查。</w:t>
      </w:r>
    </w:p>
    <w:p>
      <w:pPr>
        <w:pStyle w:val="29"/>
        <w:spacing w:after="120"/>
        <w:rPr>
          <w:kern w:val="2"/>
          <w:sz w:val="21"/>
          <w:szCs w:val="22"/>
          <w:highlight w:val="none"/>
        </w:rPr>
      </w:pPr>
    </w:p>
    <w:p>
      <w:pPr>
        <w:pStyle w:val="29"/>
        <w:wordWrap w:val="0"/>
        <w:topLinePunct/>
        <w:adjustRightInd w:val="0"/>
        <w:snapToGrid w:val="0"/>
        <w:ind w:right="95" w:firstLine="480" w:firstLineChars="200"/>
        <w:jc w:val="center"/>
        <w:rPr>
          <w:rFonts w:ascii="Times New Roman" w:hAnsi="Times New Roman"/>
          <w:kern w:val="2"/>
          <w:sz w:val="24"/>
          <w:szCs w:val="22"/>
          <w:highlight w:val="none"/>
        </w:rPr>
      </w:pPr>
      <w:r>
        <w:rPr>
          <w:rFonts w:hint="eastAsia" w:ascii="Times New Roman" w:hAnsi="Times New Roman"/>
          <w:kern w:val="2"/>
          <w:sz w:val="24"/>
          <w:szCs w:val="22"/>
          <w:highlight w:val="none"/>
        </w:rPr>
        <w:drawing>
          <wp:inline distT="0" distB="0" distL="114300" distR="114300">
            <wp:extent cx="2967990" cy="1842770"/>
            <wp:effectExtent l="0" t="0" r="3810" b="5080"/>
            <wp:docPr id="5" name="图片 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图片2"/>
                    <pic:cNvPicPr>
                      <a:picLocks noChangeAspect="1"/>
                    </pic:cNvPicPr>
                  </pic:nvPicPr>
                  <pic:blipFill>
                    <a:blip r:embed="rId7"/>
                    <a:stretch>
                      <a:fillRect/>
                    </a:stretch>
                  </pic:blipFill>
                  <pic:spPr>
                    <a:xfrm>
                      <a:off x="0" y="0"/>
                      <a:ext cx="2967990" cy="1842770"/>
                    </a:xfrm>
                    <a:prstGeom prst="rect">
                      <a:avLst/>
                    </a:prstGeom>
                    <a:noFill/>
                    <a:ln>
                      <a:noFill/>
                    </a:ln>
                  </pic:spPr>
                </pic:pic>
              </a:graphicData>
            </a:graphic>
          </wp:inline>
        </w:drawing>
      </w:r>
    </w:p>
    <w:p>
      <w:pPr>
        <w:pStyle w:val="29"/>
        <w:wordWrap w:val="0"/>
        <w:topLinePunct/>
        <w:adjustRightInd w:val="0"/>
        <w:snapToGrid w:val="0"/>
        <w:spacing w:line="500" w:lineRule="exact"/>
        <w:ind w:right="95" w:firstLine="480" w:firstLineChars="200"/>
        <w:jc w:val="left"/>
        <w:rPr>
          <w:rFonts w:ascii="Times New Roman" w:hAnsi="Times New Roman"/>
          <w:kern w:val="2"/>
          <w:sz w:val="24"/>
          <w:szCs w:val="22"/>
          <w:highlight w:val="none"/>
        </w:rPr>
      </w:pPr>
      <w:r>
        <w:rPr>
          <w:rFonts w:hint="eastAsia" w:ascii="Times New Roman" w:hAnsi="Times New Roman"/>
          <w:kern w:val="2"/>
          <w:sz w:val="24"/>
          <w:szCs w:val="22"/>
          <w:highlight w:val="none"/>
        </w:rPr>
        <w:t>9）</w:t>
      </w:r>
      <w:r>
        <w:rPr>
          <w:rFonts w:hint="eastAsia" w:ascii="Times New Roman" w:hAnsi="Times New Roman" w:cs="宋体"/>
          <w:kern w:val="2"/>
          <w:sz w:val="24"/>
          <w:szCs w:val="24"/>
          <w:highlight w:val="none"/>
        </w:rPr>
        <w:t>◆</w:t>
      </w:r>
      <w:r>
        <w:rPr>
          <w:rFonts w:hint="eastAsia" w:ascii="Times New Roman" w:hAnsi="Times New Roman"/>
          <w:kern w:val="2"/>
          <w:sz w:val="24"/>
          <w:szCs w:val="22"/>
          <w:highlight w:val="none"/>
        </w:rPr>
        <w:t>门面锁具：采用隐形三级管理锁，壳体、按钮、底座、转块、连接轴、锁芯、连接块为锌合金，压担片、锁片为Q235，卡簧为65Mn；表面处理:壳体镀黑电泳,按钮镀铬，锁芯镀镍,底座、转块、连接轴、连接块、压担片镀蓝白锌，锁片、卡簧为彩锌。</w:t>
      </w:r>
    </w:p>
    <w:p>
      <w:pPr>
        <w:pStyle w:val="29"/>
        <w:spacing w:line="500" w:lineRule="exact"/>
        <w:rPr>
          <w:rFonts w:ascii="Times New Roman" w:hAnsi="Times New Roman"/>
          <w:kern w:val="2"/>
          <w:sz w:val="24"/>
          <w:szCs w:val="22"/>
          <w:highlight w:val="none"/>
        </w:rPr>
      </w:pPr>
      <w:r>
        <w:rPr>
          <w:rFonts w:hint="eastAsia" w:ascii="Times New Roman" w:hAnsi="Times New Roman"/>
          <w:kern w:val="2"/>
          <w:sz w:val="24"/>
          <w:szCs w:val="22"/>
          <w:highlight w:val="none"/>
        </w:rPr>
        <w:t>技术要求：</w:t>
      </w:r>
    </w:p>
    <w:p>
      <w:pPr>
        <w:pStyle w:val="29"/>
        <w:spacing w:line="500" w:lineRule="exact"/>
        <w:rPr>
          <w:rFonts w:ascii="Times New Roman" w:hAnsi="Times New Roman"/>
          <w:kern w:val="2"/>
          <w:sz w:val="24"/>
          <w:szCs w:val="22"/>
          <w:highlight w:val="none"/>
        </w:rPr>
      </w:pPr>
      <w:r>
        <w:rPr>
          <w:rFonts w:hint="eastAsia" w:ascii="Times New Roman" w:hAnsi="Times New Roman"/>
          <w:kern w:val="2"/>
          <w:sz w:val="24"/>
          <w:szCs w:val="22"/>
          <w:highlight w:val="none"/>
        </w:rPr>
        <w:t>①转块与转轴之间由螺丝固定，不可松落，并且底座、转块、连接轴之间要添加润滑油。</w:t>
      </w:r>
      <w:r>
        <w:rPr>
          <w:rFonts w:hint="eastAsia" w:ascii="Times New Roman" w:hAnsi="Times New Roman"/>
          <w:kern w:val="2"/>
          <w:sz w:val="24"/>
          <w:szCs w:val="22"/>
          <w:highlight w:val="none"/>
        </w:rPr>
        <w:br w:type="textWrapping"/>
      </w:r>
      <w:r>
        <w:rPr>
          <w:rFonts w:hint="eastAsia" w:ascii="Times New Roman" w:hAnsi="Times New Roman"/>
          <w:kern w:val="2"/>
          <w:sz w:val="24"/>
          <w:szCs w:val="22"/>
          <w:highlight w:val="none"/>
        </w:rPr>
        <w:t>②按钮与连接轴之间由螺丝紧固，不可松落。</w:t>
      </w:r>
      <w:r>
        <w:rPr>
          <w:rFonts w:hint="eastAsia" w:ascii="Times New Roman" w:hAnsi="Times New Roman"/>
          <w:kern w:val="2"/>
          <w:sz w:val="24"/>
          <w:szCs w:val="22"/>
          <w:highlight w:val="none"/>
        </w:rPr>
        <w:br w:type="textWrapping"/>
      </w:r>
      <w:r>
        <w:rPr>
          <w:rFonts w:hint="eastAsia" w:ascii="Times New Roman" w:hAnsi="Times New Roman"/>
          <w:kern w:val="2"/>
          <w:sz w:val="24"/>
          <w:szCs w:val="22"/>
          <w:highlight w:val="none"/>
        </w:rPr>
        <w:t>③成品组装后锁芯转动灵活，钥匙插拔顺畅,不得有卡滞等现象。</w:t>
      </w:r>
      <w:r>
        <w:rPr>
          <w:rFonts w:hint="eastAsia" w:ascii="Times New Roman" w:hAnsi="Times New Roman"/>
          <w:kern w:val="2"/>
          <w:sz w:val="24"/>
          <w:szCs w:val="22"/>
          <w:highlight w:val="none"/>
        </w:rPr>
        <w:br w:type="textWrapping"/>
      </w:r>
      <w:r>
        <w:rPr>
          <w:rFonts w:hint="eastAsia" w:ascii="Times New Roman" w:hAnsi="Times New Roman"/>
          <w:kern w:val="2"/>
          <w:sz w:val="24"/>
          <w:szCs w:val="22"/>
          <w:highlight w:val="none"/>
        </w:rPr>
        <w:t>④成品组装后按钮转动灵活，转动时要有弹挡感，不得有卡滞等现象。</w:t>
      </w:r>
      <w:r>
        <w:rPr>
          <w:rFonts w:hint="eastAsia" w:ascii="Times New Roman" w:hAnsi="Times New Roman"/>
          <w:kern w:val="2"/>
          <w:sz w:val="24"/>
          <w:szCs w:val="22"/>
          <w:highlight w:val="none"/>
        </w:rPr>
        <w:br w:type="textWrapping"/>
      </w:r>
      <w:r>
        <w:rPr>
          <w:rFonts w:hint="eastAsia" w:ascii="Times New Roman" w:hAnsi="Times New Roman"/>
          <w:kern w:val="2"/>
          <w:sz w:val="24"/>
          <w:szCs w:val="22"/>
          <w:highlight w:val="none"/>
        </w:rPr>
        <w:t>⑤旋钮可以实现按压/弹出，当旋钮处于按压状态时，旋钮不可旋转。当旋钮弹起状态下，旋钮可以在12:00-3:00位置，45°旋转。</w:t>
      </w:r>
    </w:p>
    <w:p>
      <w:pPr>
        <w:pStyle w:val="29"/>
        <w:spacing w:line="500" w:lineRule="exact"/>
        <w:rPr>
          <w:rFonts w:ascii="Times New Roman" w:hAnsi="Times New Roman"/>
          <w:kern w:val="2"/>
          <w:sz w:val="24"/>
          <w:szCs w:val="22"/>
          <w:highlight w:val="none"/>
        </w:rPr>
      </w:pPr>
      <w:r>
        <w:rPr>
          <w:rFonts w:hint="eastAsia" w:ascii="Times New Roman" w:hAnsi="Times New Roman"/>
          <w:kern w:val="2"/>
          <w:sz w:val="24"/>
          <w:szCs w:val="22"/>
          <w:highlight w:val="none"/>
        </w:rPr>
        <w:t>⑥如图示状态当钥匙逆时针转动180°,按钮在弹出状态下，顺时针旋转45°为打开。</w:t>
      </w:r>
      <w:r>
        <w:rPr>
          <w:rFonts w:hint="eastAsia" w:ascii="Times New Roman" w:hAnsi="Times New Roman"/>
          <w:kern w:val="2"/>
          <w:sz w:val="24"/>
          <w:szCs w:val="22"/>
          <w:highlight w:val="none"/>
        </w:rPr>
        <w:br w:type="textWrapping"/>
      </w:r>
      <w:r>
        <w:rPr>
          <w:rFonts w:hint="eastAsia" w:ascii="Times New Roman" w:hAnsi="Times New Roman"/>
          <w:kern w:val="2"/>
          <w:sz w:val="24"/>
          <w:szCs w:val="22"/>
          <w:highlight w:val="none"/>
        </w:rPr>
        <w:t>⑦该锁为三级管理锁(带有换芯功能)，便于客户后续锁芯更换,母钥匙及换芯钥匙默认配比3%。</w:t>
      </w:r>
      <w:r>
        <w:rPr>
          <w:rFonts w:hint="eastAsia" w:ascii="Times New Roman" w:hAnsi="Times New Roman"/>
          <w:kern w:val="2"/>
          <w:sz w:val="24"/>
          <w:szCs w:val="22"/>
          <w:highlight w:val="none"/>
        </w:rPr>
        <w:br w:type="textWrapping"/>
      </w:r>
      <w:r>
        <w:rPr>
          <w:rFonts w:hint="eastAsia" w:ascii="Times New Roman" w:hAnsi="Times New Roman"/>
          <w:kern w:val="2"/>
          <w:sz w:val="24"/>
          <w:szCs w:val="22"/>
          <w:highlight w:val="none"/>
        </w:rPr>
        <w:t>⑧锁芯组件为内浪型,有效牙花可排列5000个，互开率低。</w:t>
      </w:r>
    </w:p>
    <w:p>
      <w:pPr>
        <w:pStyle w:val="29"/>
        <w:spacing w:line="500" w:lineRule="exact"/>
        <w:rPr>
          <w:rFonts w:ascii="Times New Roman" w:hAnsi="Times New Roman"/>
          <w:kern w:val="2"/>
          <w:sz w:val="24"/>
          <w:szCs w:val="22"/>
          <w:highlight w:val="none"/>
        </w:rPr>
      </w:pPr>
      <w:r>
        <w:rPr>
          <w:rFonts w:hint="eastAsia" w:ascii="Times New Roman" w:hAnsi="Times New Roman"/>
          <w:kern w:val="2"/>
          <w:sz w:val="24"/>
          <w:szCs w:val="22"/>
          <w:highlight w:val="none"/>
        </w:rPr>
        <w:t>⑨锁面标示红绿两点，S形按钮尖点对着红点时，表示锁处于关闭状态； S形按钮尖点对着绿点时，表示锁处于开启状态。</w:t>
      </w:r>
    </w:p>
    <w:p>
      <w:pPr>
        <w:pStyle w:val="29"/>
        <w:spacing w:line="500" w:lineRule="exact"/>
        <w:rPr>
          <w:rFonts w:ascii="Times New Roman" w:hAnsi="Times New Roman"/>
          <w:b/>
          <w:kern w:val="2"/>
          <w:sz w:val="24"/>
          <w:szCs w:val="22"/>
          <w:highlight w:val="none"/>
        </w:rPr>
      </w:pPr>
      <w:r>
        <w:rPr>
          <w:rFonts w:hint="eastAsia" w:ascii="Times New Roman" w:hAnsi="Times New Roman"/>
          <w:kern w:val="2"/>
          <w:sz w:val="24"/>
          <w:szCs w:val="22"/>
          <w:highlight w:val="none"/>
        </w:rPr>
        <w:t>⑩钥匙采用曲线槽设计镀镍黄铜钥匙，具有三级管理功能，1 把钥匙（即管理钥匙）可控制 1 个库房 或一个团体柜架，也可 1 把钥匙（即管理钥匙）控制整个库房或多个团体柜架，供用户自行选择。锁头损坏或钥匙损坏丢失等情况下，可通过维修管理钥匙直接更换锁头，不需用电钻、钳子、螺丝刀等工具。（详见附图），</w:t>
      </w:r>
      <w:r>
        <w:rPr>
          <w:rFonts w:hint="eastAsia" w:ascii="Times New Roman" w:hAnsi="Times New Roman" w:cs="Arial"/>
          <w:kern w:val="2"/>
          <w:sz w:val="24"/>
          <w:szCs w:val="22"/>
          <w:highlight w:val="none"/>
        </w:rPr>
        <w:t>合同签订前</w:t>
      </w:r>
      <w:r>
        <w:rPr>
          <w:rFonts w:hint="eastAsia" w:ascii="Times New Roman" w:hAnsi="Times New Roman"/>
          <w:bCs/>
          <w:kern w:val="2"/>
          <w:sz w:val="24"/>
          <w:szCs w:val="22"/>
          <w:highlight w:val="none"/>
        </w:rPr>
        <w:t>需提供门面锁具实物样品一个</w:t>
      </w:r>
      <w:r>
        <w:rPr>
          <w:rFonts w:hint="eastAsia" w:ascii="Times New Roman" w:hAnsi="Times New Roman" w:cs="Arial"/>
          <w:kern w:val="2"/>
          <w:sz w:val="24"/>
          <w:szCs w:val="22"/>
          <w:highlight w:val="none"/>
        </w:rPr>
        <w:t>，如未按要求提供样品将取消中标资格。</w:t>
      </w:r>
    </w:p>
    <w:p>
      <w:pPr>
        <w:pStyle w:val="29"/>
        <w:wordWrap w:val="0"/>
        <w:topLinePunct/>
        <w:adjustRightInd w:val="0"/>
        <w:snapToGrid w:val="0"/>
        <w:ind w:right="1470" w:firstLine="420" w:firstLineChars="200"/>
        <w:jc w:val="left"/>
        <w:rPr>
          <w:rFonts w:ascii="Times New Roman" w:hAnsi="Times New Roman"/>
          <w:kern w:val="2"/>
          <w:sz w:val="24"/>
          <w:szCs w:val="22"/>
          <w:highlight w:val="none"/>
        </w:rPr>
      </w:pPr>
      <w:r>
        <w:rPr>
          <w:rFonts w:hint="eastAsia" w:ascii="Times New Roman" w:hAnsi="Times New Roman" w:eastAsia="Calibri"/>
          <w:kern w:val="2"/>
          <w:sz w:val="21"/>
          <w:szCs w:val="22"/>
          <w:highlight w:val="none"/>
        </w:rPr>
        <w:drawing>
          <wp:anchor distT="0" distB="0" distL="114300" distR="114300" simplePos="0" relativeHeight="251659264" behindDoc="0" locked="0" layoutInCell="1" allowOverlap="1">
            <wp:simplePos x="0" y="0"/>
            <wp:positionH relativeFrom="column">
              <wp:posOffset>2894330</wp:posOffset>
            </wp:positionH>
            <wp:positionV relativeFrom="paragraph">
              <wp:posOffset>115570</wp:posOffset>
            </wp:positionV>
            <wp:extent cx="2080260" cy="1584325"/>
            <wp:effectExtent l="0" t="0" r="15240" b="15875"/>
            <wp:wrapNone/>
            <wp:docPr id="6" name="图片 9" descr="三级管理锁（打开关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三级管理锁（打开关态）"/>
                    <pic:cNvPicPr>
                      <a:picLocks noChangeAspect="1"/>
                    </pic:cNvPicPr>
                  </pic:nvPicPr>
                  <pic:blipFill>
                    <a:blip r:embed="rId8"/>
                    <a:stretch>
                      <a:fillRect/>
                    </a:stretch>
                  </pic:blipFill>
                  <pic:spPr>
                    <a:xfrm>
                      <a:off x="0" y="0"/>
                      <a:ext cx="2080260" cy="1584325"/>
                    </a:xfrm>
                    <a:prstGeom prst="rect">
                      <a:avLst/>
                    </a:prstGeom>
                    <a:noFill/>
                    <a:ln>
                      <a:noFill/>
                    </a:ln>
                  </pic:spPr>
                </pic:pic>
              </a:graphicData>
            </a:graphic>
          </wp:anchor>
        </w:drawing>
      </w:r>
      <w:r>
        <w:rPr>
          <w:rFonts w:hint="eastAsia" w:ascii="Times New Roman" w:hAnsi="Times New Roman" w:eastAsia="Calibri"/>
          <w:kern w:val="2"/>
          <w:sz w:val="21"/>
          <w:szCs w:val="22"/>
          <w:highlight w:val="none"/>
        </w:rPr>
        <w:drawing>
          <wp:inline distT="0" distB="0" distL="0" distR="0">
            <wp:extent cx="2261235" cy="1696720"/>
            <wp:effectExtent l="0" t="0" r="5715" b="17780"/>
            <wp:docPr id="7" name="图片 8" descr="三级管理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三级管理锁"/>
                    <pic:cNvPicPr>
                      <a:picLocks noChangeAspect="1"/>
                    </pic:cNvPicPr>
                  </pic:nvPicPr>
                  <pic:blipFill>
                    <a:blip r:embed="rId9"/>
                    <a:stretch>
                      <a:fillRect/>
                    </a:stretch>
                  </pic:blipFill>
                  <pic:spPr>
                    <a:xfrm>
                      <a:off x="0" y="0"/>
                      <a:ext cx="2261235" cy="1696720"/>
                    </a:xfrm>
                    <a:prstGeom prst="rect">
                      <a:avLst/>
                    </a:prstGeom>
                    <a:noFill/>
                    <a:ln>
                      <a:noFill/>
                    </a:ln>
                  </pic:spPr>
                </pic:pic>
              </a:graphicData>
            </a:graphic>
          </wp:inline>
        </w:drawing>
      </w:r>
    </w:p>
    <w:p>
      <w:pPr>
        <w:pStyle w:val="29"/>
        <w:wordWrap w:val="0"/>
        <w:topLinePunct/>
        <w:adjustRightInd w:val="0"/>
        <w:snapToGrid w:val="0"/>
        <w:ind w:right="1470" w:firstLine="480" w:firstLineChars="200"/>
        <w:jc w:val="left"/>
        <w:rPr>
          <w:rFonts w:ascii="Times New Roman" w:hAnsi="Times New Roman"/>
          <w:kern w:val="2"/>
          <w:sz w:val="24"/>
          <w:szCs w:val="22"/>
          <w:highlight w:val="none"/>
        </w:rPr>
      </w:pPr>
    </w:p>
    <w:p>
      <w:pPr>
        <w:pStyle w:val="29"/>
        <w:spacing w:line="360" w:lineRule="auto"/>
        <w:ind w:firstLine="480" w:firstLineChars="200"/>
        <w:rPr>
          <w:rFonts w:ascii="Times New Roman" w:hAnsi="Times New Roman" w:cs="Arial"/>
          <w:kern w:val="2"/>
          <w:sz w:val="24"/>
          <w:szCs w:val="22"/>
          <w:highlight w:val="none"/>
        </w:rPr>
      </w:pPr>
      <w:r>
        <w:rPr>
          <w:rFonts w:hint="eastAsia" w:ascii="Times New Roman" w:hAnsi="Times New Roman" w:cs="宋体"/>
          <w:kern w:val="2"/>
          <w:sz w:val="24"/>
          <w:szCs w:val="24"/>
          <w:highlight w:val="none"/>
        </w:rPr>
        <w:t>10）◆手摇式圆盘：采用独特弯形六辐设计，</w:t>
      </w:r>
      <w:r>
        <w:rPr>
          <w:rFonts w:hint="eastAsia" w:ascii="Times New Roman" w:hAnsi="Times New Roman" w:cs="宋体"/>
          <w:color w:val="000000"/>
          <w:kern w:val="2"/>
          <w:sz w:val="24"/>
          <w:szCs w:val="24"/>
          <w:highlight w:val="none"/>
        </w:rPr>
        <w:t>内镶嵌钢板，外包优质软塑材料</w:t>
      </w:r>
      <w:r>
        <w:rPr>
          <w:rFonts w:hint="eastAsia" w:ascii="Times New Roman" w:hAnsi="Times New Roman" w:cs="宋体"/>
          <w:kern w:val="2"/>
          <w:sz w:val="24"/>
          <w:szCs w:val="24"/>
          <w:highlight w:val="none"/>
        </w:rPr>
        <w:t>，直径41.8cm，圆盘外圈有五条凸筋，手感好，造型美观大方，做工精细。摇把为可折叠式，内装伸缩弹簧，使用时，往外轻拉即弹直；不使用时，将摇把提起往内折起即可。</w:t>
      </w:r>
      <w:r>
        <w:rPr>
          <w:rFonts w:hint="eastAsia" w:ascii="Times New Roman" w:hAnsi="Times New Roman"/>
          <w:kern w:val="2"/>
          <w:sz w:val="24"/>
          <w:szCs w:val="22"/>
          <w:highlight w:val="none"/>
        </w:rPr>
        <w:t>（详见附图），</w:t>
      </w:r>
      <w:r>
        <w:rPr>
          <w:rFonts w:hint="eastAsia" w:ascii="Times New Roman" w:hAnsi="Times New Roman" w:cs="Arial"/>
          <w:kern w:val="2"/>
          <w:sz w:val="24"/>
          <w:szCs w:val="22"/>
          <w:highlight w:val="none"/>
        </w:rPr>
        <w:t>合同签订前</w:t>
      </w:r>
      <w:r>
        <w:rPr>
          <w:rFonts w:hint="eastAsia" w:ascii="Times New Roman" w:hAnsi="Times New Roman"/>
          <w:kern w:val="2"/>
          <w:sz w:val="24"/>
          <w:szCs w:val="22"/>
          <w:highlight w:val="none"/>
        </w:rPr>
        <w:t>需提供</w:t>
      </w:r>
      <w:r>
        <w:rPr>
          <w:rFonts w:hint="eastAsia" w:ascii="Times New Roman" w:hAnsi="Times New Roman" w:cs="Arial"/>
          <w:kern w:val="2"/>
          <w:sz w:val="24"/>
          <w:szCs w:val="22"/>
          <w:highlight w:val="none"/>
        </w:rPr>
        <w:t>外径41.8cm的圆盘实物样品一个，如未按要求提供样品将取消中标资格。</w:t>
      </w:r>
    </w:p>
    <w:p>
      <w:pPr>
        <w:pStyle w:val="29"/>
        <w:spacing w:line="360" w:lineRule="auto"/>
        <w:jc w:val="center"/>
        <w:rPr>
          <w:rFonts w:ascii="Times New Roman" w:hAnsi="Times New Roman"/>
          <w:kern w:val="2"/>
          <w:sz w:val="24"/>
          <w:szCs w:val="22"/>
          <w:highlight w:val="none"/>
        </w:rPr>
      </w:pPr>
      <w:r>
        <w:rPr>
          <w:rFonts w:hint="eastAsia" w:ascii="Times New Roman" w:hAnsi="Times New Roman"/>
          <w:kern w:val="2"/>
          <w:sz w:val="21"/>
          <w:szCs w:val="22"/>
          <w:highlight w:val="none"/>
        </w:rPr>
        <w:drawing>
          <wp:inline distT="0" distB="0" distL="114300" distR="114300">
            <wp:extent cx="2145030" cy="2131060"/>
            <wp:effectExtent l="0" t="0" r="7620" b="2540"/>
            <wp:docPr id="1" name="图片 5" descr="手搖式圆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手搖式圆盘"/>
                    <pic:cNvPicPr>
                      <a:picLocks noChangeAspect="1"/>
                    </pic:cNvPicPr>
                  </pic:nvPicPr>
                  <pic:blipFill>
                    <a:blip r:embed="rId10"/>
                    <a:stretch>
                      <a:fillRect/>
                    </a:stretch>
                  </pic:blipFill>
                  <pic:spPr>
                    <a:xfrm flipV="1">
                      <a:off x="0" y="0"/>
                      <a:ext cx="2145030" cy="2131060"/>
                    </a:xfrm>
                    <a:prstGeom prst="rect">
                      <a:avLst/>
                    </a:prstGeom>
                    <a:noFill/>
                    <a:ln>
                      <a:noFill/>
                    </a:ln>
                  </pic:spPr>
                </pic:pic>
              </a:graphicData>
            </a:graphic>
          </wp:inline>
        </w:drawing>
      </w:r>
    </w:p>
    <w:p>
      <w:pPr>
        <w:pStyle w:val="29"/>
        <w:ind w:firstLine="240" w:firstLineChars="100"/>
        <w:rPr>
          <w:rFonts w:ascii="宋体" w:hAnsi="宋体" w:cs="宋体"/>
          <w:kern w:val="2"/>
          <w:sz w:val="24"/>
          <w:szCs w:val="24"/>
          <w:highlight w:val="none"/>
        </w:rPr>
      </w:pPr>
      <w:bookmarkStart w:id="8" w:name="_Toc22556"/>
      <w:bookmarkStart w:id="9" w:name="_Toc23584"/>
    </w:p>
    <w:p>
      <w:pPr>
        <w:pStyle w:val="29"/>
        <w:ind w:firstLine="240" w:firstLineChars="100"/>
        <w:rPr>
          <w:rFonts w:ascii="宋体" w:hAnsi="宋体" w:cs="宋体"/>
          <w:kern w:val="2"/>
          <w:sz w:val="24"/>
          <w:szCs w:val="24"/>
          <w:highlight w:val="none"/>
        </w:rPr>
      </w:pPr>
      <w:r>
        <w:rPr>
          <w:rFonts w:hint="eastAsia" w:ascii="宋体" w:hAnsi="宋体" w:cs="宋体"/>
          <w:kern w:val="2"/>
          <w:sz w:val="24"/>
          <w:szCs w:val="24"/>
          <w:highlight w:val="none"/>
        </w:rPr>
        <w:t>11）顶板，采用1.0mm冷轧钢板，表面静电喷塑，表面平整光滑。</w:t>
      </w:r>
    </w:p>
    <w:p>
      <w:pPr>
        <w:pStyle w:val="29"/>
        <w:spacing w:line="360" w:lineRule="auto"/>
        <w:ind w:firstLine="480" w:firstLineChars="200"/>
        <w:rPr>
          <w:rFonts w:ascii="Times New Roman" w:hAnsi="Times New Roman" w:cs="宋体"/>
          <w:color w:val="000000"/>
          <w:kern w:val="2"/>
          <w:sz w:val="24"/>
          <w:szCs w:val="24"/>
          <w:highlight w:val="none"/>
        </w:rPr>
      </w:pPr>
      <w:r>
        <w:rPr>
          <w:rFonts w:hint="eastAsia" w:ascii="Times New Roman" w:hAnsi="Times New Roman" w:cs="宋体"/>
          <w:color w:val="000000"/>
          <w:kern w:val="2"/>
          <w:sz w:val="24"/>
          <w:szCs w:val="24"/>
          <w:highlight w:val="none"/>
        </w:rPr>
        <w:t>需提供顶板1.0mm的项目公示前的第三方检测报告，其中检测项包括（铅≤0.15,镉≤0.03,铬≤0.15,汞≤0.08，砷≤0.03，锑≤0.01，硬度：≧H，附着力：≧2级，按GB/T3325-2017及GB 18584-2001标准执行检验判定合格），</w:t>
      </w:r>
      <w:r>
        <w:rPr>
          <w:rFonts w:hint="eastAsia" w:cs="宋体"/>
          <w:b/>
          <w:bCs/>
          <w:kern w:val="2"/>
          <w:sz w:val="24"/>
          <w:szCs w:val="22"/>
          <w:highlight w:val="none"/>
          <w:u w:val="single" w:color="FF0000"/>
        </w:rPr>
        <w:t>需提供检验报告复印件并加盖供应商鲜章</w:t>
      </w:r>
      <w:r>
        <w:rPr>
          <w:rFonts w:hint="eastAsia" w:cs="宋体"/>
          <w:b/>
          <w:bCs/>
          <w:color w:val="FF0000"/>
          <w:kern w:val="2"/>
          <w:sz w:val="24"/>
          <w:szCs w:val="22"/>
          <w:highlight w:val="none"/>
          <w:u w:val="single" w:color="FF0000"/>
        </w:rPr>
        <w:t>（原件合同签订前查看）</w:t>
      </w:r>
      <w:r>
        <w:rPr>
          <w:rFonts w:hint="eastAsia" w:cs="宋体"/>
          <w:b/>
          <w:bCs/>
          <w:kern w:val="2"/>
          <w:sz w:val="24"/>
          <w:szCs w:val="22"/>
          <w:highlight w:val="none"/>
          <w:u w:val="single" w:color="FF0000"/>
        </w:rPr>
        <w:t>，网站查询链接及网站查询截图核查。</w:t>
      </w:r>
    </w:p>
    <w:p>
      <w:pPr>
        <w:pStyle w:val="30"/>
        <w:ind w:firstLine="482" w:firstLineChars="200"/>
        <w:rPr>
          <w:b/>
          <w:bCs/>
          <w:kern w:val="2"/>
          <w:sz w:val="21"/>
          <w:szCs w:val="22"/>
          <w:highlight w:val="none"/>
        </w:rPr>
      </w:pPr>
      <w:r>
        <w:rPr>
          <w:rFonts w:hint="eastAsia" w:cs="宋体"/>
          <w:b/>
          <w:bCs/>
          <w:kern w:val="2"/>
          <w:sz w:val="24"/>
          <w:szCs w:val="22"/>
          <w:highlight w:val="none"/>
          <w:u w:val="single" w:color="FF0000"/>
        </w:rPr>
        <w:t>注：带◆的为档案密集架主要组成部件，为实质性要求。</w:t>
      </w:r>
    </w:p>
    <w:p>
      <w:pPr>
        <w:pStyle w:val="29"/>
        <w:spacing w:after="120"/>
        <w:rPr>
          <w:kern w:val="2"/>
          <w:sz w:val="21"/>
          <w:szCs w:val="22"/>
          <w:highlight w:val="none"/>
          <w:lang w:val="zh-CN"/>
        </w:rPr>
      </w:pPr>
    </w:p>
    <w:p>
      <w:pPr>
        <w:pStyle w:val="29"/>
        <w:keepNext/>
        <w:keepLines/>
        <w:spacing w:before="260" w:after="260"/>
        <w:outlineLvl w:val="2"/>
        <w:rPr>
          <w:rFonts w:ascii="Times New Roman" w:hAnsi="Times New Roman" w:cs="Arial"/>
          <w:b/>
          <w:sz w:val="24"/>
          <w:highlight w:val="none"/>
          <w:lang w:val="zh-CN"/>
        </w:rPr>
      </w:pPr>
      <w:bookmarkStart w:id="10" w:name="_Toc70583224"/>
      <w:bookmarkStart w:id="11" w:name="_Toc70515944"/>
      <w:r>
        <w:rPr>
          <w:rFonts w:hint="eastAsia" w:ascii="Times New Roman" w:hAnsi="Times New Roman" w:eastAsia="Calibri" w:cs="Arial"/>
          <w:b/>
          <w:sz w:val="24"/>
          <w:highlight w:val="none"/>
          <w:lang w:val="zh-CN"/>
        </w:rPr>
        <w:t>（</w:t>
      </w:r>
      <w:r>
        <w:rPr>
          <w:rFonts w:hint="eastAsia" w:ascii="Times New Roman" w:hAnsi="Times New Roman" w:eastAsia="Calibri" w:cs="Arial"/>
          <w:b/>
          <w:sz w:val="24"/>
          <w:highlight w:val="none"/>
        </w:rPr>
        <w:t>2）</w:t>
      </w:r>
      <w:r>
        <w:rPr>
          <w:rFonts w:hint="eastAsia" w:ascii="Times New Roman" w:hAnsi="Times New Roman" w:cs="Arial"/>
          <w:b/>
          <w:sz w:val="24"/>
          <w:highlight w:val="none"/>
          <w:lang w:val="zh-CN"/>
        </w:rPr>
        <w:t>技术标准</w:t>
      </w:r>
      <w:bookmarkEnd w:id="4"/>
      <w:bookmarkEnd w:id="5"/>
      <w:bookmarkEnd w:id="6"/>
      <w:bookmarkEnd w:id="7"/>
      <w:bookmarkEnd w:id="8"/>
      <w:bookmarkEnd w:id="9"/>
      <w:bookmarkEnd w:id="10"/>
      <w:bookmarkEnd w:id="11"/>
    </w:p>
    <w:p>
      <w:pPr>
        <w:pStyle w:val="29"/>
        <w:spacing w:line="440" w:lineRule="exact"/>
        <w:ind w:firstLine="424" w:firstLineChars="177"/>
        <w:rPr>
          <w:rFonts w:ascii="Times New Roman" w:hAnsi="Times New Roman"/>
          <w:kern w:val="2"/>
          <w:sz w:val="24"/>
          <w:szCs w:val="22"/>
          <w:highlight w:val="none"/>
        </w:rPr>
      </w:pPr>
      <w:bookmarkStart w:id="12" w:name="_Toc450229931"/>
      <w:bookmarkStart w:id="13" w:name="_Toc435396470"/>
      <w:bookmarkStart w:id="14" w:name="_Toc46389177"/>
      <w:bookmarkStart w:id="15" w:name="_Toc10442"/>
      <w:r>
        <w:rPr>
          <w:rFonts w:hint="eastAsia" w:ascii="Times New Roman" w:hAnsi="Times New Roman"/>
          <w:kern w:val="2"/>
          <w:sz w:val="24"/>
          <w:szCs w:val="22"/>
          <w:highlight w:val="none"/>
        </w:rPr>
        <w:t xml:space="preserve"> 1)每标准节组装后，外形尺寸的极限偏差为±2mm，立柱与导轨的垂直度不大于2mm。侧面板和中腰带的对缝处的间隙不大于2mm，门缝间隙均匀并在1～2mm之间。</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2)传动机构应转动灵活、平稳、不得有失灵现象。</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3)导轨安装平行度偏差不大于1mm/m，全长不大于2mm，导轨对接处高低差不大于0.3mm。</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4)底梁必须平直，直线度不大于0.5mm／m，全长不大于2mm。</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5)架体安装垂直度偏差小于2mm，达到横平竖直。</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6)各零件、组合件表面光滑、平整，不得有尖角、突起。</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7)所有焊接件焊接牢固，焊痕打磨光滑平整。</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8)喷塑表面色泽一致，塑面均匀光滑，无划伤。</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9)产品各零件、组合件之间应能具有互换性。</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10)搁板上均匀载重4</w:t>
      </w:r>
      <w:r>
        <w:rPr>
          <w:rFonts w:hint="eastAsia" w:ascii="Times New Roman" w:hAnsi="Times New Roman" w:eastAsia="Calibri"/>
          <w:kern w:val="2"/>
          <w:sz w:val="24"/>
          <w:szCs w:val="22"/>
          <w:highlight w:val="none"/>
        </w:rPr>
        <w:t>0KG</w:t>
      </w:r>
      <w:r>
        <w:rPr>
          <w:rFonts w:hint="eastAsia" w:ascii="Times New Roman" w:hAnsi="Times New Roman"/>
          <w:kern w:val="2"/>
          <w:sz w:val="24"/>
          <w:szCs w:val="22"/>
          <w:highlight w:val="none"/>
        </w:rPr>
        <w:t>，放置24h最大挠度小于4mm，卸载后2h搁板不得有裂缝，残余变形量不大于0.3mm。</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11)每标准节在全负载的情况下，各结构件和架体没有明显变形，架体不应产生倾斜现象。</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 xml:space="preserve">  12)在全负载的情况下，各列密集架应运动自如，不得有阻滞现象，单列密集架运行，手柄摇力不大于10N。</w:t>
      </w:r>
    </w:p>
    <w:p>
      <w:pPr>
        <w:pStyle w:val="29"/>
        <w:keepNext/>
        <w:keepLines/>
        <w:spacing w:before="260" w:after="260"/>
        <w:outlineLvl w:val="2"/>
        <w:rPr>
          <w:rFonts w:ascii="Times New Roman" w:hAnsi="Times New Roman" w:cs="Arial"/>
          <w:b/>
          <w:sz w:val="24"/>
          <w:highlight w:val="none"/>
          <w:lang w:val="zh-CN"/>
        </w:rPr>
      </w:pPr>
      <w:bookmarkStart w:id="16" w:name="_Toc10043"/>
      <w:bookmarkStart w:id="17" w:name="_Toc19392"/>
      <w:bookmarkStart w:id="18" w:name="_Toc70515945"/>
      <w:bookmarkStart w:id="19" w:name="_Toc70583225"/>
      <w:r>
        <w:rPr>
          <w:rFonts w:hint="eastAsia" w:ascii="Times New Roman" w:hAnsi="Times New Roman" w:eastAsia="Calibri" w:cs="Arial"/>
          <w:b/>
          <w:sz w:val="24"/>
          <w:highlight w:val="none"/>
          <w:lang w:val="zh-CN"/>
        </w:rPr>
        <w:t>（</w:t>
      </w:r>
      <w:r>
        <w:rPr>
          <w:rFonts w:hint="eastAsia" w:ascii="Times New Roman" w:hAnsi="Times New Roman" w:eastAsia="Calibri" w:cs="Arial"/>
          <w:b/>
          <w:sz w:val="24"/>
          <w:highlight w:val="none"/>
        </w:rPr>
        <w:t>3）</w:t>
      </w:r>
      <w:r>
        <w:rPr>
          <w:rFonts w:hint="eastAsia" w:ascii="Times New Roman" w:hAnsi="Times New Roman" w:cs="Arial"/>
          <w:b/>
          <w:sz w:val="24"/>
          <w:highlight w:val="none"/>
          <w:lang w:val="zh-CN"/>
        </w:rPr>
        <w:t>加工工艺</w:t>
      </w:r>
      <w:bookmarkEnd w:id="12"/>
      <w:bookmarkEnd w:id="13"/>
      <w:bookmarkEnd w:id="14"/>
      <w:bookmarkEnd w:id="15"/>
      <w:bookmarkEnd w:id="16"/>
      <w:bookmarkEnd w:id="17"/>
      <w:bookmarkEnd w:id="18"/>
      <w:bookmarkEnd w:id="19"/>
    </w:p>
    <w:p>
      <w:pPr>
        <w:pStyle w:val="29"/>
        <w:spacing w:line="440" w:lineRule="exact"/>
        <w:ind w:firstLine="424" w:firstLineChars="177"/>
        <w:rPr>
          <w:rFonts w:ascii="Times New Roman" w:hAnsi="Times New Roman"/>
          <w:kern w:val="2"/>
          <w:sz w:val="24"/>
          <w:szCs w:val="22"/>
          <w:highlight w:val="none"/>
        </w:rPr>
      </w:pPr>
      <w:bookmarkStart w:id="20" w:name="_Toc435396471"/>
      <w:bookmarkStart w:id="21" w:name="_Toc18319"/>
      <w:bookmarkStart w:id="22" w:name="_Toc46389178"/>
      <w:bookmarkStart w:id="23" w:name="_Toc450229932"/>
      <w:r>
        <w:rPr>
          <w:rFonts w:hint="eastAsia" w:ascii="Times New Roman" w:hAnsi="Times New Roman"/>
          <w:kern w:val="2"/>
          <w:sz w:val="24"/>
          <w:szCs w:val="22"/>
          <w:highlight w:val="none"/>
        </w:rPr>
        <w:t>1)制定严格的产品企业标准，并有完善的质量检验制度和控制手段。有高精度的剪板机、折弯机、各种机械加工设备及全自动高压静电喷塑设备，工艺装备齐全。</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2)所有钣金件、机加工件加工后均打磨毛刺，无裂痕及伤痕。</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3)所有焊接件均焊接牢固，外表光滑平整。</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4)每标准节组装后，质量符合技术标准要求。</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5)产品的全部钣金件均经过严格的酸洗、除锈、磷化等十三道工序处理，选用大型流水线自动前处理喷涂设备。表面喷涂粉末材料采用具有环保性质的阿克苏诺贝尔长诚涂料有限公司生产的高强度树脂粉末。其相关技术性能完全符合GB-T13667. 16.3档案管理要求。喷涂无死角。经此表面处理的零件耐环境腐蚀性强、涂层牢固、美观大方。表面处理工艺过程如下：预处理一60℃-80℃热脱脂一冷水清洗一除锈一冷水清洗一中和一冷水清洗一表调一60℃-70℃热磷化一冷水清洗一65℃-80℃热钝化一静电喷粉一180℃固化。漆膜附着力达到GB1720中的二级指标。塑膜厚度为60-</w:t>
      </w:r>
      <w:r>
        <w:rPr>
          <w:rFonts w:hint="eastAsia" w:ascii="Times New Roman" w:hAnsi="Times New Roman" w:eastAsia="Calibri"/>
          <w:kern w:val="2"/>
          <w:sz w:val="24"/>
          <w:szCs w:val="22"/>
          <w:highlight w:val="none"/>
        </w:rPr>
        <w:t>70</w:t>
      </w:r>
      <w:r>
        <w:rPr>
          <w:rFonts w:hint="eastAsia" w:ascii="Times New Roman" w:hAnsi="Times New Roman" w:cs="宋体"/>
          <w:kern w:val="2"/>
          <w:sz w:val="24"/>
          <w:szCs w:val="22"/>
          <w:highlight w:val="none"/>
        </w:rPr>
        <w:t>µ</w:t>
      </w:r>
      <w:r>
        <w:rPr>
          <w:rFonts w:hint="eastAsia" w:ascii="Times New Roman" w:hAnsi="Times New Roman"/>
          <w:kern w:val="2"/>
          <w:sz w:val="24"/>
          <w:szCs w:val="22"/>
          <w:highlight w:val="none"/>
        </w:rPr>
        <w:t>m，塑层防锈能力20年以上。</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6)所有标准件及紧固件均经氧化或镀锌处理。</w:t>
      </w:r>
    </w:p>
    <w:p>
      <w:pPr>
        <w:pStyle w:val="29"/>
        <w:keepNext/>
        <w:keepLines/>
        <w:spacing w:before="260" w:after="260"/>
        <w:outlineLvl w:val="2"/>
        <w:rPr>
          <w:rFonts w:ascii="Times New Roman" w:hAnsi="Times New Roman" w:cs="Arial"/>
          <w:b/>
          <w:sz w:val="24"/>
          <w:highlight w:val="none"/>
          <w:lang w:val="zh-CN"/>
        </w:rPr>
      </w:pPr>
      <w:bookmarkStart w:id="24" w:name="_Toc22953"/>
      <w:bookmarkStart w:id="25" w:name="_Toc70515946"/>
      <w:bookmarkStart w:id="26" w:name="_Toc70583226"/>
      <w:bookmarkStart w:id="27" w:name="_Toc24411"/>
      <w:r>
        <w:rPr>
          <w:rFonts w:hint="eastAsia" w:ascii="Times New Roman" w:hAnsi="Times New Roman" w:eastAsia="Calibri" w:cs="Arial"/>
          <w:b/>
          <w:sz w:val="24"/>
          <w:highlight w:val="none"/>
          <w:lang w:val="zh-CN"/>
        </w:rPr>
        <w:t>（</w:t>
      </w:r>
      <w:r>
        <w:rPr>
          <w:rFonts w:hint="eastAsia" w:ascii="Times New Roman" w:hAnsi="Times New Roman" w:eastAsia="Calibri" w:cs="Arial"/>
          <w:b/>
          <w:sz w:val="24"/>
          <w:highlight w:val="none"/>
        </w:rPr>
        <w:t>4）</w:t>
      </w:r>
      <w:r>
        <w:rPr>
          <w:rFonts w:ascii="Times New Roman" w:hAnsi="Times New Roman" w:cs="Arial"/>
          <w:b/>
          <w:sz w:val="24"/>
          <w:highlight w:val="none"/>
          <w:lang w:val="zh-CN"/>
        </w:rPr>
        <w:t>载重性能</w:t>
      </w:r>
      <w:bookmarkEnd w:id="20"/>
      <w:bookmarkEnd w:id="21"/>
      <w:bookmarkEnd w:id="22"/>
      <w:bookmarkEnd w:id="23"/>
      <w:bookmarkEnd w:id="24"/>
      <w:bookmarkEnd w:id="25"/>
      <w:bookmarkEnd w:id="26"/>
      <w:bookmarkEnd w:id="27"/>
    </w:p>
    <w:p>
      <w:pPr>
        <w:pStyle w:val="29"/>
        <w:spacing w:line="440" w:lineRule="exact"/>
        <w:ind w:firstLine="424" w:firstLineChars="177"/>
        <w:rPr>
          <w:rFonts w:ascii="Times New Roman" w:hAnsi="Times New Roman"/>
          <w:kern w:val="2"/>
          <w:sz w:val="24"/>
          <w:szCs w:val="22"/>
          <w:highlight w:val="none"/>
        </w:rPr>
      </w:pPr>
      <w:bookmarkStart w:id="28" w:name="_Toc14856"/>
      <w:bookmarkStart w:id="29" w:name="_Toc46389179"/>
      <w:r>
        <w:rPr>
          <w:rFonts w:hint="eastAsia" w:ascii="Times New Roman" w:hAnsi="Times New Roman"/>
          <w:kern w:val="2"/>
          <w:sz w:val="24"/>
          <w:szCs w:val="22"/>
          <w:highlight w:val="none"/>
        </w:rPr>
        <w:t>1</w:t>
      </w:r>
      <w:r>
        <w:rPr>
          <w:rFonts w:hint="eastAsia" w:ascii="Times New Roman" w:hAnsi="Times New Roman" w:eastAsia="Calibri"/>
          <w:kern w:val="2"/>
          <w:sz w:val="24"/>
          <w:szCs w:val="22"/>
          <w:highlight w:val="none"/>
        </w:rPr>
        <w:t>）</w:t>
      </w:r>
      <w:r>
        <w:rPr>
          <w:rFonts w:hint="eastAsia" w:ascii="Times New Roman" w:hAnsi="Times New Roman"/>
          <w:kern w:val="2"/>
          <w:sz w:val="24"/>
          <w:szCs w:val="22"/>
          <w:highlight w:val="none"/>
        </w:rPr>
        <w:t>搁板载重：单面搁板压筋上均匀载重40kg，双面为80kg，最大挠度为3mm，24h卸载后，无裂纹、不变形。</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2</w:t>
      </w:r>
      <w:r>
        <w:rPr>
          <w:rFonts w:hint="eastAsia" w:ascii="Times New Roman" w:hAnsi="Times New Roman" w:eastAsia="Calibri"/>
          <w:kern w:val="2"/>
          <w:sz w:val="24"/>
          <w:szCs w:val="22"/>
          <w:highlight w:val="none"/>
        </w:rPr>
        <w:t>）</w:t>
      </w:r>
      <w:r>
        <w:rPr>
          <w:rFonts w:hint="eastAsia" w:ascii="Times New Roman" w:hAnsi="Times New Roman"/>
          <w:kern w:val="2"/>
          <w:sz w:val="24"/>
          <w:szCs w:val="22"/>
          <w:highlight w:val="none"/>
        </w:rPr>
        <w:t>全负载载重：每标准节在全负载（每块单面搁板均匀载重40kg）的情况下，架体、立柱无有明显变形，架体不产生倾倒现象。</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载重运行：在全负载的情况下，各列密集架在手动操纵下，都运行自如，</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3</w:t>
      </w:r>
      <w:r>
        <w:rPr>
          <w:rFonts w:hint="eastAsia" w:ascii="Times New Roman" w:hAnsi="Times New Roman" w:eastAsia="Calibri"/>
          <w:kern w:val="2"/>
          <w:sz w:val="24"/>
          <w:szCs w:val="22"/>
          <w:highlight w:val="none"/>
        </w:rPr>
        <w:t>）</w:t>
      </w:r>
      <w:r>
        <w:rPr>
          <w:rFonts w:hint="eastAsia" w:ascii="Times New Roman" w:hAnsi="Times New Roman"/>
          <w:kern w:val="2"/>
          <w:sz w:val="24"/>
          <w:szCs w:val="22"/>
          <w:highlight w:val="none"/>
        </w:rPr>
        <w:t>无阻滞现象。每标准节手动摇力不小于11.8N(每列密集架的手柄摇力为：11.8N*标准节数)。</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4</w:t>
      </w:r>
      <w:r>
        <w:rPr>
          <w:rFonts w:hint="eastAsia" w:ascii="Times New Roman" w:hAnsi="Times New Roman" w:eastAsia="Calibri"/>
          <w:kern w:val="2"/>
          <w:sz w:val="24"/>
          <w:szCs w:val="22"/>
          <w:highlight w:val="none"/>
        </w:rPr>
        <w:t>）</w:t>
      </w:r>
      <w:r>
        <w:rPr>
          <w:rFonts w:hint="eastAsia" w:ascii="Times New Roman" w:hAnsi="Times New Roman"/>
          <w:kern w:val="2"/>
          <w:sz w:val="24"/>
          <w:szCs w:val="22"/>
          <w:highlight w:val="none"/>
        </w:rPr>
        <w:t>载重稳定性：在受全部载荷二十分之一外力（沿X、Y轴两个方向的水平外力）的作用反复100次后，取消外力，架体所产生的倾斜不大于总高的百分之一。支架、立柱无明显变形</w:t>
      </w:r>
    </w:p>
    <w:p>
      <w:pPr>
        <w:pStyle w:val="29"/>
        <w:keepNext/>
        <w:keepLines/>
        <w:spacing w:before="260" w:after="260"/>
        <w:outlineLvl w:val="2"/>
        <w:rPr>
          <w:rFonts w:ascii="Times New Roman" w:hAnsi="Times New Roman" w:eastAsia="Calibri" w:cs="Arial"/>
          <w:b/>
          <w:sz w:val="24"/>
          <w:highlight w:val="none"/>
        </w:rPr>
      </w:pPr>
      <w:bookmarkStart w:id="30" w:name="_Toc2752"/>
      <w:bookmarkStart w:id="31" w:name="_Toc24046"/>
      <w:bookmarkStart w:id="32" w:name="_Toc70583227"/>
      <w:bookmarkStart w:id="33" w:name="_Toc70515947"/>
      <w:r>
        <w:rPr>
          <w:rFonts w:hint="eastAsia" w:ascii="Times New Roman" w:hAnsi="Times New Roman" w:eastAsia="Calibri" w:cs="Arial"/>
          <w:b/>
          <w:sz w:val="24"/>
          <w:highlight w:val="none"/>
          <w:lang w:val="zh-CN"/>
        </w:rPr>
        <w:t>（</w:t>
      </w:r>
      <w:r>
        <w:rPr>
          <w:rFonts w:hint="eastAsia" w:ascii="Times New Roman" w:hAnsi="Times New Roman" w:eastAsia="Calibri" w:cs="Arial"/>
          <w:b/>
          <w:sz w:val="24"/>
          <w:highlight w:val="none"/>
        </w:rPr>
        <w:t>5）安装要求</w:t>
      </w:r>
      <w:bookmarkEnd w:id="30"/>
      <w:bookmarkEnd w:id="31"/>
      <w:bookmarkEnd w:id="32"/>
      <w:bookmarkEnd w:id="33"/>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1</w:t>
      </w:r>
      <w:r>
        <w:rPr>
          <w:rFonts w:hint="eastAsia" w:ascii="Times New Roman" w:hAnsi="Times New Roman" w:eastAsia="Calibri"/>
          <w:kern w:val="2"/>
          <w:sz w:val="24"/>
          <w:szCs w:val="22"/>
          <w:highlight w:val="none"/>
        </w:rPr>
        <w:t>）</w:t>
      </w:r>
      <w:r>
        <w:rPr>
          <w:rFonts w:hint="eastAsia" w:ascii="Times New Roman" w:hAnsi="Times New Roman"/>
          <w:kern w:val="2"/>
          <w:sz w:val="24"/>
          <w:szCs w:val="22"/>
          <w:highlight w:val="none"/>
        </w:rPr>
        <w:t>各部安装应牢固可靠，没有松动现象，各结构件和架体无明显变形，架体无倾斜现象。每标准节组合后外型尺寸（长、宽、高）的极限偏差为正负2mm。</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2</w:t>
      </w:r>
      <w:r>
        <w:rPr>
          <w:rFonts w:hint="eastAsia" w:ascii="Times New Roman" w:hAnsi="Times New Roman" w:eastAsia="Calibri"/>
          <w:kern w:val="2"/>
          <w:sz w:val="24"/>
          <w:szCs w:val="22"/>
          <w:highlight w:val="none"/>
        </w:rPr>
        <w:t>）</w:t>
      </w:r>
      <w:r>
        <w:rPr>
          <w:rFonts w:hint="eastAsia" w:ascii="Times New Roman" w:hAnsi="Times New Roman"/>
          <w:kern w:val="2"/>
          <w:sz w:val="24"/>
          <w:szCs w:val="22"/>
          <w:highlight w:val="none"/>
        </w:rPr>
        <w:t>标准架组装后，侧面板与中腰带的对缝处的间隙不大于2mm。</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3</w:t>
      </w:r>
      <w:r>
        <w:rPr>
          <w:rFonts w:hint="eastAsia" w:ascii="Times New Roman" w:hAnsi="Times New Roman" w:eastAsia="Calibri"/>
          <w:kern w:val="2"/>
          <w:sz w:val="24"/>
          <w:szCs w:val="22"/>
          <w:highlight w:val="none"/>
        </w:rPr>
        <w:t>）</w:t>
      </w:r>
      <w:r>
        <w:rPr>
          <w:rFonts w:hint="eastAsia" w:ascii="Times New Roman" w:hAnsi="Times New Roman"/>
          <w:kern w:val="2"/>
          <w:sz w:val="24"/>
          <w:szCs w:val="22"/>
          <w:highlight w:val="none"/>
        </w:rPr>
        <w:t>门缝间隙在安装保障的前提下，均匀一致在1-2mm之间。</w:t>
      </w:r>
    </w:p>
    <w:p>
      <w:pPr>
        <w:pStyle w:val="29"/>
        <w:spacing w:line="440" w:lineRule="exact"/>
        <w:ind w:firstLine="424" w:firstLineChars="177"/>
        <w:rPr>
          <w:rFonts w:ascii="Times New Roman" w:hAnsi="Times New Roman"/>
          <w:kern w:val="2"/>
          <w:sz w:val="24"/>
          <w:szCs w:val="22"/>
          <w:highlight w:val="none"/>
        </w:rPr>
      </w:pPr>
      <w:r>
        <w:rPr>
          <w:rFonts w:hint="eastAsia" w:ascii="Times New Roman" w:hAnsi="Times New Roman"/>
          <w:kern w:val="2"/>
          <w:sz w:val="24"/>
          <w:szCs w:val="22"/>
          <w:highlight w:val="none"/>
        </w:rPr>
        <w:t>4</w:t>
      </w:r>
      <w:r>
        <w:rPr>
          <w:rFonts w:hint="eastAsia" w:ascii="Times New Roman" w:hAnsi="Times New Roman" w:eastAsia="Calibri"/>
          <w:kern w:val="2"/>
          <w:sz w:val="24"/>
          <w:szCs w:val="22"/>
          <w:highlight w:val="none"/>
        </w:rPr>
        <w:t>）</w:t>
      </w:r>
      <w:r>
        <w:rPr>
          <w:rFonts w:hint="eastAsia" w:ascii="Times New Roman" w:hAnsi="Times New Roman"/>
          <w:kern w:val="2"/>
          <w:sz w:val="24"/>
          <w:szCs w:val="22"/>
          <w:highlight w:val="none"/>
        </w:rPr>
        <w:t>导轨安装后，单根导轨的直线度不大于1.0mm/m。5m中不大于2.0mm。两根导轨水平高度偏差不大于1.0mm/m。两根导轨宽度之间的平行度偏差不大于2.0mm/m，全长不大于2.0mm，导轨对接处高低差不大于0.3mm，架体移动时与轨道保持90度。</w:t>
      </w:r>
    </w:p>
    <w:p>
      <w:pPr>
        <w:pStyle w:val="29"/>
        <w:keepNext/>
        <w:keepLines/>
        <w:spacing w:before="260" w:after="260"/>
        <w:outlineLvl w:val="2"/>
        <w:rPr>
          <w:rFonts w:ascii="Times New Roman" w:hAnsi="Times New Roman" w:cs="Arial"/>
          <w:b/>
          <w:sz w:val="24"/>
          <w:highlight w:val="none"/>
          <w:lang w:val="zh-CN"/>
        </w:rPr>
      </w:pPr>
      <w:bookmarkStart w:id="34" w:name="_Toc21369"/>
      <w:bookmarkStart w:id="35" w:name="_Toc70583228"/>
      <w:bookmarkStart w:id="36" w:name="_Toc70515948"/>
      <w:bookmarkStart w:id="37" w:name="_Toc26381"/>
      <w:r>
        <w:rPr>
          <w:rFonts w:hint="eastAsia" w:ascii="Times New Roman" w:hAnsi="Times New Roman" w:eastAsia="Calibri" w:cs="Arial"/>
          <w:b/>
          <w:sz w:val="24"/>
          <w:highlight w:val="none"/>
          <w:lang w:val="zh-CN"/>
        </w:rPr>
        <w:t>（</w:t>
      </w:r>
      <w:r>
        <w:rPr>
          <w:rFonts w:hint="eastAsia" w:ascii="Times New Roman" w:hAnsi="Times New Roman" w:eastAsia="Calibri" w:cs="Arial"/>
          <w:b/>
          <w:sz w:val="24"/>
          <w:highlight w:val="none"/>
        </w:rPr>
        <w:t>6）</w:t>
      </w:r>
      <w:r>
        <w:rPr>
          <w:rFonts w:ascii="Times New Roman" w:hAnsi="Times New Roman" w:cs="Arial"/>
          <w:b/>
          <w:sz w:val="24"/>
          <w:highlight w:val="none"/>
          <w:lang w:val="zh-CN"/>
        </w:rPr>
        <w:t>材料配置</w:t>
      </w:r>
      <w:bookmarkEnd w:id="28"/>
      <w:bookmarkEnd w:id="29"/>
      <w:bookmarkEnd w:id="34"/>
      <w:bookmarkEnd w:id="35"/>
      <w:bookmarkEnd w:id="36"/>
      <w:bookmarkEnd w:id="37"/>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483"/>
        <w:gridCol w:w="683"/>
        <w:gridCol w:w="1342"/>
        <w:gridCol w:w="1625"/>
        <w:gridCol w:w="1910"/>
        <w:gridCol w:w="2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设备名称</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设备配置</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规格型号</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材质</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采用标准</w:t>
            </w:r>
          </w:p>
        </w:tc>
        <w:tc>
          <w:tcPr>
            <w:tcW w:w="155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性能说明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轨道</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轨道座</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3.0MM</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冷轧钢板</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708-2006</w:t>
            </w:r>
          </w:p>
        </w:tc>
        <w:tc>
          <w:tcPr>
            <w:tcW w:w="155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表面静电喷塑粉末涂料选用聚脂与环氧型混合涂料，喷塑前经严格去油除锈和磷化处理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轨芯</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20*20MM</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实心方钢</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3078-2008</w:t>
            </w: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底架</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横纵梁及轮架组合</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3.0MM</w:t>
            </w:r>
          </w:p>
        </w:tc>
        <w:tc>
          <w:tcPr>
            <w:tcW w:w="849"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冷轧钢板</w:t>
            </w:r>
          </w:p>
        </w:tc>
        <w:tc>
          <w:tcPr>
            <w:tcW w:w="99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708-2006</w:t>
            </w:r>
          </w:p>
        </w:tc>
        <w:tc>
          <w:tcPr>
            <w:tcW w:w="155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底盘采用整体焊接，刚性足，不变形，表面喷塑，分段式结构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底盘</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3.0MM</w:t>
            </w:r>
          </w:p>
        </w:tc>
        <w:tc>
          <w:tcPr>
            <w:tcW w:w="849"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996"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架体</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立柱</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1.5MM</w:t>
            </w:r>
          </w:p>
        </w:tc>
        <w:tc>
          <w:tcPr>
            <w:tcW w:w="849"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冷轧钢板</w:t>
            </w:r>
          </w:p>
        </w:tc>
        <w:tc>
          <w:tcPr>
            <w:tcW w:w="99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708-2006</w:t>
            </w:r>
          </w:p>
        </w:tc>
        <w:tc>
          <w:tcPr>
            <w:tcW w:w="155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架体结实,坚固,安装规范,层数和间距可自由调整，含立架中间直料和边框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搁板</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1.</w:t>
            </w:r>
            <w:r>
              <w:rPr>
                <w:rFonts w:hint="eastAsia" w:ascii="Times New Roman" w:hAnsi="Times New Roman" w:eastAsiaTheme="minorEastAsia"/>
                <w:kern w:val="2"/>
                <w:sz w:val="21"/>
                <w:szCs w:val="21"/>
                <w:highlight w:val="none"/>
              </w:rPr>
              <w:t>0</w:t>
            </w:r>
            <w:r>
              <w:rPr>
                <w:rFonts w:hint="eastAsia" w:ascii="Times New Roman" w:hAnsi="Times New Roman"/>
                <w:kern w:val="2"/>
                <w:sz w:val="21"/>
                <w:szCs w:val="21"/>
                <w:highlight w:val="none"/>
              </w:rPr>
              <w:t>MM</w:t>
            </w:r>
          </w:p>
        </w:tc>
        <w:tc>
          <w:tcPr>
            <w:tcW w:w="849"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996"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挂板</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1.</w:t>
            </w:r>
            <w:r>
              <w:rPr>
                <w:rFonts w:hint="eastAsia" w:ascii="Times New Roman" w:hAnsi="Times New Roman" w:eastAsiaTheme="minorEastAsia"/>
                <w:kern w:val="2"/>
                <w:sz w:val="21"/>
                <w:szCs w:val="21"/>
                <w:highlight w:val="none"/>
              </w:rPr>
              <w:t>0</w:t>
            </w:r>
            <w:r>
              <w:rPr>
                <w:rFonts w:hint="eastAsia" w:ascii="Times New Roman" w:hAnsi="Times New Roman"/>
                <w:kern w:val="2"/>
                <w:sz w:val="21"/>
                <w:szCs w:val="21"/>
                <w:highlight w:val="none"/>
              </w:rPr>
              <w:t>MM</w:t>
            </w:r>
          </w:p>
        </w:tc>
        <w:tc>
          <w:tcPr>
            <w:tcW w:w="849"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996"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eastAsia="Calibri"/>
                <w:kern w:val="2"/>
                <w:sz w:val="21"/>
                <w:szCs w:val="21"/>
                <w:highlight w:val="none"/>
              </w:rPr>
              <w:t>侧板</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eastAsia="Calibri"/>
                <w:kern w:val="2"/>
                <w:sz w:val="21"/>
                <w:szCs w:val="21"/>
                <w:highlight w:val="none"/>
              </w:rPr>
              <w:t>1.</w:t>
            </w:r>
            <w:r>
              <w:rPr>
                <w:rFonts w:hint="eastAsia" w:ascii="Times New Roman" w:hAnsi="Times New Roman" w:eastAsiaTheme="minorEastAsia"/>
                <w:kern w:val="2"/>
                <w:sz w:val="21"/>
                <w:szCs w:val="21"/>
                <w:highlight w:val="none"/>
              </w:rPr>
              <w:t>0</w:t>
            </w:r>
            <w:r>
              <w:rPr>
                <w:rFonts w:hint="eastAsia" w:ascii="Times New Roman" w:hAnsi="Times New Roman"/>
                <w:kern w:val="2"/>
                <w:sz w:val="21"/>
                <w:szCs w:val="21"/>
                <w:highlight w:val="none"/>
              </w:rPr>
              <w:t>MM</w:t>
            </w:r>
          </w:p>
        </w:tc>
        <w:tc>
          <w:tcPr>
            <w:tcW w:w="849"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996"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门面</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门板</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1.0MM</w:t>
            </w:r>
          </w:p>
        </w:tc>
        <w:tc>
          <w:tcPr>
            <w:tcW w:w="849"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冷轧钢板</w:t>
            </w:r>
          </w:p>
        </w:tc>
        <w:tc>
          <w:tcPr>
            <w:tcW w:w="99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708-2006</w:t>
            </w:r>
          </w:p>
        </w:tc>
        <w:tc>
          <w:tcPr>
            <w:tcW w:w="155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门板平整,款式新颖,表面亚光喷塑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门框</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eastAsia="Calibri"/>
                <w:kern w:val="2"/>
                <w:sz w:val="21"/>
                <w:szCs w:val="21"/>
                <w:highlight w:val="none"/>
              </w:rPr>
              <w:t>1.0</w:t>
            </w:r>
            <w:r>
              <w:rPr>
                <w:rFonts w:hint="eastAsia" w:ascii="Times New Roman" w:hAnsi="Times New Roman"/>
                <w:kern w:val="2"/>
                <w:sz w:val="21"/>
                <w:szCs w:val="21"/>
                <w:highlight w:val="none"/>
              </w:rPr>
              <w:t>MM</w:t>
            </w:r>
          </w:p>
        </w:tc>
        <w:tc>
          <w:tcPr>
            <w:tcW w:w="849"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996"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锁具</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三级管理</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锁</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企业标准</w:t>
            </w:r>
          </w:p>
        </w:tc>
        <w:tc>
          <w:tcPr>
            <w:tcW w:w="155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eastAsia="Calibri"/>
                <w:kern w:val="2"/>
                <w:sz w:val="21"/>
                <w:szCs w:val="21"/>
                <w:highlight w:val="none"/>
              </w:rPr>
              <w:t>管理安全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传动机构</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轴承</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HR204E</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双排珠心轴承</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GB/T308-2002</w:t>
            </w:r>
          </w:p>
        </w:tc>
        <w:tc>
          <w:tcPr>
            <w:tcW w:w="155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精密度高,万向灵活,材料质量好,耐压与耐磨性能好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传动轴</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Ø20</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45#实心圆钢</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699-1999</w:t>
            </w:r>
          </w:p>
        </w:tc>
        <w:tc>
          <w:tcPr>
            <w:tcW w:w="155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传动机构配合精密度高,定位可靠,传动轻便灵活,摇手轻,运行平稳性能达到和超过国家标准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连接钢管</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Ø20×2.5</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45#圆钢</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GB/T8162-2008</w:t>
            </w: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铁滚轮</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Ø120</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内D型铁铸造</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GB/T9439-2010</w:t>
            </w: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传动齿轮</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ZG45</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滚轮精制</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 T 10855-20</w:t>
            </w:r>
            <w:r>
              <w:rPr>
                <w:rFonts w:hint="eastAsia" w:ascii="Times New Roman" w:hAnsi="Times New Roman" w:eastAsia="Calibri"/>
                <w:kern w:val="2"/>
                <w:sz w:val="21"/>
                <w:szCs w:val="21"/>
                <w:highlight w:val="none"/>
              </w:rPr>
              <w:t>16</w:t>
            </w: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链条</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Ø8.5节距12.7FR420</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摩托车链条</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GB1244-8</w:t>
            </w:r>
            <w:r>
              <w:rPr>
                <w:rFonts w:hint="eastAsia" w:ascii="Times New Roman" w:hAnsi="Times New Roman" w:eastAsia="Calibri"/>
                <w:kern w:val="2"/>
                <w:sz w:val="21"/>
                <w:szCs w:val="21"/>
                <w:highlight w:val="none"/>
              </w:rPr>
              <w:t>5</w:t>
            </w:r>
          </w:p>
        </w:tc>
        <w:tc>
          <w:tcPr>
            <w:tcW w:w="1556" w:type="pct"/>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252"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摇手体</w:t>
            </w:r>
          </w:p>
        </w:tc>
        <w:tc>
          <w:tcPr>
            <w:tcW w:w="35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eastAsia="Calibri"/>
                <w:kern w:val="2"/>
                <w:sz w:val="21"/>
                <w:szCs w:val="21"/>
                <w:highlight w:val="none"/>
              </w:rPr>
              <w:t>六辐式</w:t>
            </w:r>
            <w:r>
              <w:rPr>
                <w:rFonts w:hint="eastAsia" w:ascii="Times New Roman" w:hAnsi="Times New Roman"/>
                <w:kern w:val="2"/>
                <w:sz w:val="21"/>
                <w:szCs w:val="21"/>
                <w:highlight w:val="none"/>
              </w:rPr>
              <w:t>摇</w:t>
            </w:r>
            <w:r>
              <w:rPr>
                <w:rFonts w:hint="eastAsia" w:ascii="Times New Roman" w:hAnsi="Times New Roman" w:eastAsia="Calibri"/>
                <w:kern w:val="2"/>
                <w:sz w:val="21"/>
                <w:szCs w:val="21"/>
                <w:highlight w:val="none"/>
              </w:rPr>
              <w:t>盘</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塑钢</w:t>
            </w:r>
          </w:p>
        </w:tc>
        <w:tc>
          <w:tcPr>
            <w:tcW w:w="849"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双向超越离合器结构</w:t>
            </w:r>
          </w:p>
        </w:tc>
        <w:tc>
          <w:tcPr>
            <w:tcW w:w="99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13667.3-20</w:t>
            </w:r>
            <w:r>
              <w:rPr>
                <w:rFonts w:hint="eastAsia" w:ascii="Times New Roman" w:hAnsi="Times New Roman" w:eastAsia="Calibri"/>
                <w:kern w:val="2"/>
                <w:sz w:val="21"/>
                <w:szCs w:val="21"/>
                <w:highlight w:val="none"/>
              </w:rPr>
              <w:t>1</w:t>
            </w:r>
            <w:r>
              <w:rPr>
                <w:rFonts w:hint="eastAsia" w:ascii="Times New Roman" w:hAnsi="Times New Roman"/>
                <w:kern w:val="2"/>
                <w:sz w:val="21"/>
                <w:szCs w:val="21"/>
                <w:highlight w:val="none"/>
              </w:rPr>
              <w:t>3</w:t>
            </w:r>
          </w:p>
        </w:tc>
        <w:tc>
          <w:tcPr>
            <w:tcW w:w="155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造型美观大方,手感舒适,折叠式把手,可避免通道障碍,摇动任意一列不会带动其它把手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252"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35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滚珠轴承</w:t>
            </w:r>
          </w:p>
        </w:tc>
        <w:tc>
          <w:tcPr>
            <w:tcW w:w="701" w:type="pct"/>
            <w:noWrap/>
            <w:vAlign w:val="center"/>
          </w:tcPr>
          <w:p>
            <w:pPr>
              <w:pStyle w:val="29"/>
              <w:adjustRightInd w:val="0"/>
              <w:snapToGrid w:val="0"/>
              <w:jc w:val="center"/>
              <w:rPr>
                <w:rFonts w:ascii="Times New Roman" w:hAnsi="Times New Roman"/>
                <w:kern w:val="2"/>
                <w:sz w:val="21"/>
                <w:szCs w:val="21"/>
                <w:highlight w:val="none"/>
              </w:rPr>
            </w:pPr>
          </w:p>
        </w:tc>
        <w:tc>
          <w:tcPr>
            <w:tcW w:w="849"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996"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制动装置</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边列锁定</w:t>
            </w:r>
            <w:r>
              <w:rPr>
                <w:rFonts w:hint="eastAsia" w:ascii="Times New Roman" w:hAnsi="Times New Roman" w:eastAsia="Calibri"/>
                <w:kern w:val="2"/>
                <w:sz w:val="21"/>
                <w:szCs w:val="21"/>
                <w:highlight w:val="none"/>
              </w:rPr>
              <w:t>装具（总锁）</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eastAsia="Calibri"/>
                <w:kern w:val="2"/>
                <w:sz w:val="21"/>
                <w:szCs w:val="21"/>
                <w:highlight w:val="none"/>
              </w:rPr>
              <w:t>808锁</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无</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企业标准</w:t>
            </w:r>
          </w:p>
        </w:tc>
        <w:tc>
          <w:tcPr>
            <w:tcW w:w="155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每列均装有制动装置,磁性密封条,操作方便,制动可靠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密封</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密封条</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20×20</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聚氯乙烯</w:t>
            </w:r>
          </w:p>
        </w:tc>
        <w:tc>
          <w:tcPr>
            <w:tcW w:w="996"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528-1998</w:t>
            </w:r>
          </w:p>
        </w:tc>
        <w:tc>
          <w:tcPr>
            <w:tcW w:w="155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每列的接触面均有缓冲及密封装置,具有良好的防震,防尘,防鼠,防光,防潮,防火功能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顶板</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1.0MM</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冷轧钢板</w:t>
            </w:r>
          </w:p>
        </w:tc>
        <w:tc>
          <w:tcPr>
            <w:tcW w:w="996"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GB/T 708-2006</w:t>
            </w: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防尘板</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1.0MM</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冷轧钢板</w:t>
            </w:r>
          </w:p>
        </w:tc>
        <w:tc>
          <w:tcPr>
            <w:tcW w:w="996"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防倾倒板</w:t>
            </w:r>
          </w:p>
        </w:tc>
        <w:tc>
          <w:tcPr>
            <w:tcW w:w="701"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3.0MM</w:t>
            </w:r>
          </w:p>
        </w:tc>
        <w:tc>
          <w:tcPr>
            <w:tcW w:w="849"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冷轧钢板</w:t>
            </w:r>
          </w:p>
        </w:tc>
        <w:tc>
          <w:tcPr>
            <w:tcW w:w="996"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vMerge w:val="continue"/>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85" w:type="pct"/>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表面处理</w:t>
            </w: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前处理</w:t>
            </w:r>
          </w:p>
        </w:tc>
        <w:tc>
          <w:tcPr>
            <w:tcW w:w="2548" w:type="pct"/>
            <w:gridSpan w:val="3"/>
            <w:vMerge w:val="restar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环保性粉末静电高温喷塑，硬度 ≥ F，冲击强度≥ 3.92J无剥落、裂纹或皱纹等, 附着力≥2级,膜厚厚度≥0.005-0.001mm</w:t>
            </w:r>
          </w:p>
        </w:tc>
        <w:tc>
          <w:tcPr>
            <w:tcW w:w="1556" w:type="pct"/>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85" w:type="pct"/>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609" w:type="pct"/>
            <w:gridSpan w:val="2"/>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静电喷塑</w:t>
            </w:r>
          </w:p>
        </w:tc>
        <w:tc>
          <w:tcPr>
            <w:tcW w:w="2548" w:type="pct"/>
            <w:gridSpan w:val="3"/>
            <w:vMerge w:val="continue"/>
            <w:noWrap/>
            <w:vAlign w:val="center"/>
          </w:tcPr>
          <w:p>
            <w:pPr>
              <w:pStyle w:val="29"/>
              <w:adjustRightInd w:val="0"/>
              <w:snapToGrid w:val="0"/>
              <w:jc w:val="center"/>
              <w:rPr>
                <w:rFonts w:ascii="Times New Roman" w:hAnsi="Times New Roman"/>
                <w:kern w:val="2"/>
                <w:sz w:val="21"/>
                <w:szCs w:val="21"/>
                <w:highlight w:val="none"/>
              </w:rPr>
            </w:pPr>
          </w:p>
        </w:tc>
        <w:tc>
          <w:tcPr>
            <w:tcW w:w="1556" w:type="pct"/>
            <w:noWrap/>
            <w:vAlign w:val="center"/>
          </w:tcPr>
          <w:p>
            <w:pPr>
              <w:pStyle w:val="29"/>
              <w:adjustRightInd w:val="0"/>
              <w:snapToGrid w:val="0"/>
              <w:jc w:val="center"/>
              <w:rPr>
                <w:rFonts w:ascii="Times New Roman" w:hAnsi="Times New Roman"/>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85" w:type="pct"/>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紧固件</w:t>
            </w:r>
          </w:p>
        </w:tc>
        <w:tc>
          <w:tcPr>
            <w:tcW w:w="3157" w:type="pct"/>
            <w:gridSpan w:val="5"/>
            <w:noWrap/>
            <w:vAlign w:val="center"/>
          </w:tcPr>
          <w:p>
            <w:pPr>
              <w:pStyle w:val="29"/>
              <w:adjustRightInd w:val="0"/>
              <w:snapToGrid w:val="0"/>
              <w:jc w:val="center"/>
              <w:rPr>
                <w:rFonts w:ascii="Times New Roman" w:hAnsi="Times New Roman"/>
                <w:kern w:val="2"/>
                <w:sz w:val="21"/>
                <w:szCs w:val="21"/>
                <w:highlight w:val="none"/>
              </w:rPr>
            </w:pPr>
            <w:r>
              <w:rPr>
                <w:rFonts w:hint="eastAsia" w:ascii="Times New Roman" w:hAnsi="Times New Roman"/>
                <w:kern w:val="2"/>
                <w:sz w:val="21"/>
                <w:szCs w:val="21"/>
                <w:highlight w:val="none"/>
              </w:rPr>
              <w:t>45#\Q235-A钢制镀锌标准化零件</w:t>
            </w:r>
          </w:p>
        </w:tc>
        <w:tc>
          <w:tcPr>
            <w:tcW w:w="1556" w:type="pct"/>
            <w:noWrap/>
            <w:vAlign w:val="center"/>
          </w:tcPr>
          <w:p>
            <w:pPr>
              <w:pStyle w:val="29"/>
              <w:adjustRightInd w:val="0"/>
              <w:snapToGrid w:val="0"/>
              <w:jc w:val="center"/>
              <w:rPr>
                <w:rFonts w:ascii="Times New Roman" w:hAnsi="Times New Roman"/>
                <w:kern w:val="2"/>
                <w:sz w:val="21"/>
                <w:szCs w:val="21"/>
                <w:highlight w:val="none"/>
              </w:rPr>
            </w:pPr>
          </w:p>
        </w:tc>
      </w:tr>
    </w:tbl>
    <w:p>
      <w:pPr>
        <w:pStyle w:val="10"/>
        <w:keepNext w:val="0"/>
        <w:keepLines w:val="0"/>
        <w:pageBreakBefore w:val="0"/>
        <w:kinsoku/>
        <w:wordWrap/>
        <w:overflowPunct/>
        <w:topLinePunct w:val="0"/>
        <w:bidi w:val="0"/>
        <w:spacing w:line="520" w:lineRule="exact"/>
        <w:outlineLvl w:val="0"/>
        <w:rPr>
          <w:rFonts w:hint="eastAsia" w:ascii="宋体" w:hAnsi="Courier New"/>
          <w:b/>
          <w:sz w:val="32"/>
          <w:szCs w:val="20"/>
          <w:highlight w:val="none"/>
        </w:rPr>
      </w:pPr>
    </w:p>
    <w:p>
      <w:pPr>
        <w:pStyle w:val="10"/>
        <w:outlineLvl w:val="0"/>
        <w:rPr>
          <w:rFonts w:hint="eastAsia" w:ascii="宋体" w:hAnsi="Courier New"/>
          <w:b/>
          <w:sz w:val="32"/>
          <w:szCs w:val="20"/>
          <w:highlight w:val="none"/>
        </w:rPr>
      </w:pPr>
    </w:p>
    <w:p>
      <w:pPr>
        <w:pStyle w:val="10"/>
        <w:outlineLvl w:val="0"/>
        <w:rPr>
          <w:rFonts w:hint="eastAsia" w:ascii="宋体" w:hAnsi="Courier New"/>
          <w:b/>
          <w:sz w:val="32"/>
          <w:szCs w:val="20"/>
          <w:highlight w:val="none"/>
          <w:lang w:eastAsia="zh-CN"/>
        </w:rPr>
      </w:pPr>
    </w:p>
    <w:p>
      <w:pPr>
        <w:pStyle w:val="10"/>
        <w:outlineLvl w:val="0"/>
        <w:rPr>
          <w:rFonts w:hint="eastAsia" w:ascii="宋体" w:hAnsi="Courier New"/>
          <w:b/>
          <w:sz w:val="32"/>
          <w:szCs w:val="20"/>
          <w:highlight w:val="none"/>
          <w:lang w:eastAsia="zh-CN"/>
        </w:rPr>
      </w:pPr>
    </w:p>
    <w:p>
      <w:pPr>
        <w:pStyle w:val="10"/>
        <w:outlineLvl w:val="0"/>
        <w:rPr>
          <w:rFonts w:hint="eastAsia" w:ascii="宋体" w:hAnsi="Courier New"/>
          <w:b/>
          <w:sz w:val="32"/>
          <w:szCs w:val="20"/>
          <w:highlight w:val="none"/>
          <w:lang w:eastAsia="zh-CN"/>
        </w:rPr>
      </w:pPr>
    </w:p>
    <w:p>
      <w:pPr>
        <w:pStyle w:val="10"/>
        <w:outlineLvl w:val="0"/>
        <w:rPr>
          <w:rFonts w:hint="eastAsia" w:ascii="宋体" w:hAnsi="Courier New"/>
          <w:b/>
          <w:sz w:val="32"/>
          <w:szCs w:val="20"/>
          <w:highlight w:val="none"/>
          <w:lang w:eastAsia="zh-CN"/>
        </w:rPr>
      </w:pPr>
    </w:p>
    <w:p>
      <w:pPr>
        <w:pStyle w:val="10"/>
        <w:outlineLvl w:val="0"/>
        <w:rPr>
          <w:rFonts w:hint="eastAsia" w:ascii="宋体" w:hAnsi="Courier New"/>
          <w:b/>
          <w:sz w:val="32"/>
          <w:szCs w:val="20"/>
          <w:highlight w:val="none"/>
          <w:lang w:eastAsia="zh-CN"/>
        </w:rPr>
      </w:pPr>
    </w:p>
    <w:p>
      <w:pPr>
        <w:pStyle w:val="10"/>
        <w:outlineLvl w:val="0"/>
        <w:rPr>
          <w:rFonts w:hint="eastAsia" w:ascii="宋体" w:hAnsi="Courier New"/>
          <w:b/>
          <w:sz w:val="32"/>
          <w:szCs w:val="20"/>
          <w:highlight w:val="none"/>
          <w:lang w:eastAsia="zh-CN"/>
        </w:rPr>
      </w:pPr>
    </w:p>
    <w:p>
      <w:pPr>
        <w:pStyle w:val="10"/>
        <w:outlineLvl w:val="0"/>
        <w:rPr>
          <w:rFonts w:hint="eastAsia" w:ascii="宋体" w:hAnsi="Courier New"/>
          <w:b/>
          <w:sz w:val="32"/>
          <w:szCs w:val="20"/>
          <w:highlight w:val="none"/>
          <w:lang w:eastAsia="zh-CN"/>
        </w:rPr>
      </w:pPr>
    </w:p>
    <w:p>
      <w:pPr>
        <w:pStyle w:val="10"/>
        <w:outlineLvl w:val="0"/>
        <w:rPr>
          <w:rFonts w:hint="eastAsia" w:ascii="宋体" w:hAnsi="Courier New"/>
          <w:b/>
          <w:sz w:val="32"/>
          <w:szCs w:val="20"/>
          <w:highlight w:val="none"/>
          <w:lang w:eastAsia="zh-CN"/>
        </w:rPr>
      </w:pPr>
    </w:p>
    <w:p>
      <w:pPr>
        <w:pStyle w:val="11"/>
        <w:spacing w:line="440" w:lineRule="exact"/>
        <w:rPr>
          <w:rFonts w:ascii="仿宋_GB2312" w:hAnsi="宋体" w:eastAsia="仿宋_GB2312" w:cs="仿宋_GB2312"/>
          <w:color w:val="000000"/>
          <w:spacing w:val="15"/>
          <w:sz w:val="32"/>
          <w:szCs w:val="32"/>
          <w:highlight w:val="none"/>
          <w:shd w:val="clear" w:color="auto" w:fill="FFFFFF"/>
        </w:rPr>
      </w:pPr>
      <w:bookmarkStart w:id="38" w:name="_GoBack"/>
      <w:bookmarkEnd w:id="38"/>
    </w:p>
    <w:sectPr>
      <w:pgSz w:w="11906" w:h="16838"/>
      <w:pgMar w:top="1134" w:right="1134"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7"/>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57A13"/>
    <w:rsid w:val="000A14CF"/>
    <w:rsid w:val="00103222"/>
    <w:rsid w:val="00175E96"/>
    <w:rsid w:val="001A5358"/>
    <w:rsid w:val="001E7563"/>
    <w:rsid w:val="00277C91"/>
    <w:rsid w:val="0029646E"/>
    <w:rsid w:val="00323635"/>
    <w:rsid w:val="0038464F"/>
    <w:rsid w:val="00580F29"/>
    <w:rsid w:val="005D232B"/>
    <w:rsid w:val="009076A1"/>
    <w:rsid w:val="0094231D"/>
    <w:rsid w:val="009570BA"/>
    <w:rsid w:val="00AD335B"/>
    <w:rsid w:val="00B0299E"/>
    <w:rsid w:val="00B24546"/>
    <w:rsid w:val="00C675AD"/>
    <w:rsid w:val="00DB16F5"/>
    <w:rsid w:val="00EB3936"/>
    <w:rsid w:val="00EC0F3E"/>
    <w:rsid w:val="00ED1202"/>
    <w:rsid w:val="00F66D1F"/>
    <w:rsid w:val="01107820"/>
    <w:rsid w:val="011532E0"/>
    <w:rsid w:val="011D3C43"/>
    <w:rsid w:val="011E375F"/>
    <w:rsid w:val="011F5C12"/>
    <w:rsid w:val="01276041"/>
    <w:rsid w:val="012A7DD2"/>
    <w:rsid w:val="01361A17"/>
    <w:rsid w:val="013E00A0"/>
    <w:rsid w:val="014B0102"/>
    <w:rsid w:val="015249C6"/>
    <w:rsid w:val="01547126"/>
    <w:rsid w:val="015F084D"/>
    <w:rsid w:val="015F35AA"/>
    <w:rsid w:val="016B7941"/>
    <w:rsid w:val="016E3208"/>
    <w:rsid w:val="01746734"/>
    <w:rsid w:val="01815861"/>
    <w:rsid w:val="018F51DE"/>
    <w:rsid w:val="019B45A5"/>
    <w:rsid w:val="01A97615"/>
    <w:rsid w:val="01BA3C89"/>
    <w:rsid w:val="01BA4474"/>
    <w:rsid w:val="01C05E21"/>
    <w:rsid w:val="01C94FED"/>
    <w:rsid w:val="01F53194"/>
    <w:rsid w:val="02023D75"/>
    <w:rsid w:val="02257E92"/>
    <w:rsid w:val="023C3D21"/>
    <w:rsid w:val="024461DB"/>
    <w:rsid w:val="02450A24"/>
    <w:rsid w:val="024B59A7"/>
    <w:rsid w:val="02502E90"/>
    <w:rsid w:val="02616DA5"/>
    <w:rsid w:val="02A81F90"/>
    <w:rsid w:val="02C77B6E"/>
    <w:rsid w:val="02CA5BA0"/>
    <w:rsid w:val="02CD67F5"/>
    <w:rsid w:val="02CF2588"/>
    <w:rsid w:val="02D95E8F"/>
    <w:rsid w:val="02FD7CFF"/>
    <w:rsid w:val="031B56C3"/>
    <w:rsid w:val="03367BE9"/>
    <w:rsid w:val="03416CDF"/>
    <w:rsid w:val="035D104D"/>
    <w:rsid w:val="036471C3"/>
    <w:rsid w:val="036D1CB9"/>
    <w:rsid w:val="038E6C22"/>
    <w:rsid w:val="039B4E15"/>
    <w:rsid w:val="03C018E7"/>
    <w:rsid w:val="03E775D1"/>
    <w:rsid w:val="03F61632"/>
    <w:rsid w:val="04090A93"/>
    <w:rsid w:val="040E11DB"/>
    <w:rsid w:val="040F3705"/>
    <w:rsid w:val="042B2A9E"/>
    <w:rsid w:val="04386C25"/>
    <w:rsid w:val="043D0F9C"/>
    <w:rsid w:val="04452599"/>
    <w:rsid w:val="04541A18"/>
    <w:rsid w:val="04565577"/>
    <w:rsid w:val="045B38B7"/>
    <w:rsid w:val="045D06CB"/>
    <w:rsid w:val="04612C88"/>
    <w:rsid w:val="04677671"/>
    <w:rsid w:val="04AE0C62"/>
    <w:rsid w:val="04C46A18"/>
    <w:rsid w:val="04C67766"/>
    <w:rsid w:val="04E00125"/>
    <w:rsid w:val="04ED583B"/>
    <w:rsid w:val="04EE2BD1"/>
    <w:rsid w:val="05093D83"/>
    <w:rsid w:val="050C153B"/>
    <w:rsid w:val="050D222A"/>
    <w:rsid w:val="050F1BFB"/>
    <w:rsid w:val="0538539E"/>
    <w:rsid w:val="055044B5"/>
    <w:rsid w:val="05512B1C"/>
    <w:rsid w:val="055D6490"/>
    <w:rsid w:val="05654E1B"/>
    <w:rsid w:val="05901757"/>
    <w:rsid w:val="05933136"/>
    <w:rsid w:val="059A3302"/>
    <w:rsid w:val="05AF2B97"/>
    <w:rsid w:val="05CA3E60"/>
    <w:rsid w:val="05E9043C"/>
    <w:rsid w:val="05F62A68"/>
    <w:rsid w:val="05FD4EEA"/>
    <w:rsid w:val="061504FA"/>
    <w:rsid w:val="061950B9"/>
    <w:rsid w:val="062933B8"/>
    <w:rsid w:val="062D6708"/>
    <w:rsid w:val="06464A2E"/>
    <w:rsid w:val="06695CD4"/>
    <w:rsid w:val="067B54A9"/>
    <w:rsid w:val="067C4A2C"/>
    <w:rsid w:val="067D48FE"/>
    <w:rsid w:val="069C0D1A"/>
    <w:rsid w:val="06A068FD"/>
    <w:rsid w:val="06AC71E1"/>
    <w:rsid w:val="06B353FE"/>
    <w:rsid w:val="06D57C4F"/>
    <w:rsid w:val="06D64CFF"/>
    <w:rsid w:val="06EC6E24"/>
    <w:rsid w:val="07031577"/>
    <w:rsid w:val="07085FC1"/>
    <w:rsid w:val="0724038A"/>
    <w:rsid w:val="072F0CBD"/>
    <w:rsid w:val="07455E24"/>
    <w:rsid w:val="074E3DA5"/>
    <w:rsid w:val="07644FCE"/>
    <w:rsid w:val="07984D5F"/>
    <w:rsid w:val="079E571E"/>
    <w:rsid w:val="07B408BE"/>
    <w:rsid w:val="07D9717A"/>
    <w:rsid w:val="07EE51EC"/>
    <w:rsid w:val="07F47B56"/>
    <w:rsid w:val="08012F10"/>
    <w:rsid w:val="0816016D"/>
    <w:rsid w:val="081760C6"/>
    <w:rsid w:val="081B7C6A"/>
    <w:rsid w:val="08307A37"/>
    <w:rsid w:val="08445425"/>
    <w:rsid w:val="08503F1A"/>
    <w:rsid w:val="0854135F"/>
    <w:rsid w:val="085978F1"/>
    <w:rsid w:val="086B1B90"/>
    <w:rsid w:val="08AF4073"/>
    <w:rsid w:val="08BE655F"/>
    <w:rsid w:val="08D47674"/>
    <w:rsid w:val="08DB62A6"/>
    <w:rsid w:val="08DE7761"/>
    <w:rsid w:val="08FF0055"/>
    <w:rsid w:val="090A3CBA"/>
    <w:rsid w:val="090B091A"/>
    <w:rsid w:val="0912673B"/>
    <w:rsid w:val="091743B4"/>
    <w:rsid w:val="092E2C73"/>
    <w:rsid w:val="09334E59"/>
    <w:rsid w:val="09386F13"/>
    <w:rsid w:val="093F1D23"/>
    <w:rsid w:val="09732DA3"/>
    <w:rsid w:val="0990328A"/>
    <w:rsid w:val="09971718"/>
    <w:rsid w:val="09B22C5C"/>
    <w:rsid w:val="09C87599"/>
    <w:rsid w:val="09E4549D"/>
    <w:rsid w:val="09E935DD"/>
    <w:rsid w:val="09E96DCA"/>
    <w:rsid w:val="09EE259D"/>
    <w:rsid w:val="09F55B94"/>
    <w:rsid w:val="0A0C014B"/>
    <w:rsid w:val="0A3718E3"/>
    <w:rsid w:val="0A4A02B5"/>
    <w:rsid w:val="0A4C30CF"/>
    <w:rsid w:val="0A590EFF"/>
    <w:rsid w:val="0A5D50AF"/>
    <w:rsid w:val="0A5F285B"/>
    <w:rsid w:val="0A77044B"/>
    <w:rsid w:val="0A832D2B"/>
    <w:rsid w:val="0A990296"/>
    <w:rsid w:val="0A9C2D9A"/>
    <w:rsid w:val="0A9F650E"/>
    <w:rsid w:val="0AAE7053"/>
    <w:rsid w:val="0ACC4700"/>
    <w:rsid w:val="0AE04745"/>
    <w:rsid w:val="0AF37F66"/>
    <w:rsid w:val="0AF96F36"/>
    <w:rsid w:val="0B0B4A04"/>
    <w:rsid w:val="0B226FB4"/>
    <w:rsid w:val="0B253B72"/>
    <w:rsid w:val="0B3C366E"/>
    <w:rsid w:val="0B435AF9"/>
    <w:rsid w:val="0B4434DF"/>
    <w:rsid w:val="0B5D3D48"/>
    <w:rsid w:val="0B5E058B"/>
    <w:rsid w:val="0B787719"/>
    <w:rsid w:val="0B7F770C"/>
    <w:rsid w:val="0B894A4A"/>
    <w:rsid w:val="0B9B42A5"/>
    <w:rsid w:val="0BA4101C"/>
    <w:rsid w:val="0BAC7A80"/>
    <w:rsid w:val="0BB9792D"/>
    <w:rsid w:val="0BC01476"/>
    <w:rsid w:val="0BCE1136"/>
    <w:rsid w:val="0BE009DE"/>
    <w:rsid w:val="0C036612"/>
    <w:rsid w:val="0C187595"/>
    <w:rsid w:val="0C356FD9"/>
    <w:rsid w:val="0C3617A4"/>
    <w:rsid w:val="0C424305"/>
    <w:rsid w:val="0C4A06B5"/>
    <w:rsid w:val="0C5D2D34"/>
    <w:rsid w:val="0C63272F"/>
    <w:rsid w:val="0C833D95"/>
    <w:rsid w:val="0C905154"/>
    <w:rsid w:val="0CA427D5"/>
    <w:rsid w:val="0CA77594"/>
    <w:rsid w:val="0CAD7AC7"/>
    <w:rsid w:val="0CB03FFD"/>
    <w:rsid w:val="0CBE3EB0"/>
    <w:rsid w:val="0CC51F85"/>
    <w:rsid w:val="0CCE69C1"/>
    <w:rsid w:val="0CDE0EF7"/>
    <w:rsid w:val="0CDF3EF8"/>
    <w:rsid w:val="0CE16754"/>
    <w:rsid w:val="0D063318"/>
    <w:rsid w:val="0D0A0775"/>
    <w:rsid w:val="0D0E05D1"/>
    <w:rsid w:val="0D520D4B"/>
    <w:rsid w:val="0D671D74"/>
    <w:rsid w:val="0D6C6A1C"/>
    <w:rsid w:val="0D6E154F"/>
    <w:rsid w:val="0D712E24"/>
    <w:rsid w:val="0D847DD5"/>
    <w:rsid w:val="0DC05FA9"/>
    <w:rsid w:val="0DC46CAE"/>
    <w:rsid w:val="0DC56EF5"/>
    <w:rsid w:val="0DE14C55"/>
    <w:rsid w:val="0DE50968"/>
    <w:rsid w:val="0DFD256A"/>
    <w:rsid w:val="0E023675"/>
    <w:rsid w:val="0E141277"/>
    <w:rsid w:val="0E20652A"/>
    <w:rsid w:val="0E337D7C"/>
    <w:rsid w:val="0E6B06A9"/>
    <w:rsid w:val="0E802CD1"/>
    <w:rsid w:val="0EAA682E"/>
    <w:rsid w:val="0EAB7269"/>
    <w:rsid w:val="0EB162E5"/>
    <w:rsid w:val="0EE22FB1"/>
    <w:rsid w:val="0EE433FC"/>
    <w:rsid w:val="0EE74E98"/>
    <w:rsid w:val="0EF62F20"/>
    <w:rsid w:val="0F0D0F2F"/>
    <w:rsid w:val="0F0E4C0E"/>
    <w:rsid w:val="0F1E256E"/>
    <w:rsid w:val="0F20164E"/>
    <w:rsid w:val="0F4577BE"/>
    <w:rsid w:val="0F59005F"/>
    <w:rsid w:val="0F686A07"/>
    <w:rsid w:val="0F806607"/>
    <w:rsid w:val="0F907BE1"/>
    <w:rsid w:val="0FAF03EF"/>
    <w:rsid w:val="0FBF2BE8"/>
    <w:rsid w:val="0FC542F5"/>
    <w:rsid w:val="0FD53435"/>
    <w:rsid w:val="0FE133E8"/>
    <w:rsid w:val="10191002"/>
    <w:rsid w:val="101A4879"/>
    <w:rsid w:val="10322677"/>
    <w:rsid w:val="103402D2"/>
    <w:rsid w:val="10346CFD"/>
    <w:rsid w:val="104053D5"/>
    <w:rsid w:val="105736DF"/>
    <w:rsid w:val="106573B8"/>
    <w:rsid w:val="106A21C0"/>
    <w:rsid w:val="10722280"/>
    <w:rsid w:val="107C1CBF"/>
    <w:rsid w:val="108D044D"/>
    <w:rsid w:val="1093616B"/>
    <w:rsid w:val="109B6D43"/>
    <w:rsid w:val="10AB3BFC"/>
    <w:rsid w:val="10C07BC4"/>
    <w:rsid w:val="10EC73A6"/>
    <w:rsid w:val="10F05693"/>
    <w:rsid w:val="10FA7E3B"/>
    <w:rsid w:val="11274F86"/>
    <w:rsid w:val="11402F7D"/>
    <w:rsid w:val="115427BA"/>
    <w:rsid w:val="116A05D1"/>
    <w:rsid w:val="116D4BFD"/>
    <w:rsid w:val="11772AD0"/>
    <w:rsid w:val="117B46D6"/>
    <w:rsid w:val="11851B24"/>
    <w:rsid w:val="11861A8F"/>
    <w:rsid w:val="11892650"/>
    <w:rsid w:val="11A958B5"/>
    <w:rsid w:val="11B404E1"/>
    <w:rsid w:val="11D71C2E"/>
    <w:rsid w:val="11DB64E5"/>
    <w:rsid w:val="11DF400A"/>
    <w:rsid w:val="11EC4692"/>
    <w:rsid w:val="11FC11D8"/>
    <w:rsid w:val="12047E58"/>
    <w:rsid w:val="120E63DC"/>
    <w:rsid w:val="12233D31"/>
    <w:rsid w:val="12313F07"/>
    <w:rsid w:val="123477B2"/>
    <w:rsid w:val="123F5CED"/>
    <w:rsid w:val="124302BB"/>
    <w:rsid w:val="12926666"/>
    <w:rsid w:val="12A55976"/>
    <w:rsid w:val="12AE15DD"/>
    <w:rsid w:val="12D270AB"/>
    <w:rsid w:val="12DB42F4"/>
    <w:rsid w:val="12F73018"/>
    <w:rsid w:val="131274EB"/>
    <w:rsid w:val="131D7FF2"/>
    <w:rsid w:val="133424E4"/>
    <w:rsid w:val="133D0D73"/>
    <w:rsid w:val="13441F06"/>
    <w:rsid w:val="134F24BD"/>
    <w:rsid w:val="1356229B"/>
    <w:rsid w:val="135D5B9A"/>
    <w:rsid w:val="138B50BA"/>
    <w:rsid w:val="13942FCF"/>
    <w:rsid w:val="139469DE"/>
    <w:rsid w:val="139F40BC"/>
    <w:rsid w:val="13A41B22"/>
    <w:rsid w:val="13AA2891"/>
    <w:rsid w:val="13BD6F36"/>
    <w:rsid w:val="13DD4774"/>
    <w:rsid w:val="13E35C29"/>
    <w:rsid w:val="14414F80"/>
    <w:rsid w:val="1451183F"/>
    <w:rsid w:val="14650AEA"/>
    <w:rsid w:val="147238CA"/>
    <w:rsid w:val="147F5C32"/>
    <w:rsid w:val="149327E6"/>
    <w:rsid w:val="14AC069A"/>
    <w:rsid w:val="14AF08A6"/>
    <w:rsid w:val="14B24527"/>
    <w:rsid w:val="14BA00C9"/>
    <w:rsid w:val="14C75042"/>
    <w:rsid w:val="14D44793"/>
    <w:rsid w:val="14D471C3"/>
    <w:rsid w:val="14EE7C93"/>
    <w:rsid w:val="14F448FC"/>
    <w:rsid w:val="15280CB5"/>
    <w:rsid w:val="152849BD"/>
    <w:rsid w:val="152D1341"/>
    <w:rsid w:val="152F4B33"/>
    <w:rsid w:val="155205D1"/>
    <w:rsid w:val="155A1F76"/>
    <w:rsid w:val="159A2B13"/>
    <w:rsid w:val="15CF24F7"/>
    <w:rsid w:val="15DA4C94"/>
    <w:rsid w:val="16074A5F"/>
    <w:rsid w:val="16093A52"/>
    <w:rsid w:val="162438B9"/>
    <w:rsid w:val="162B0686"/>
    <w:rsid w:val="16476690"/>
    <w:rsid w:val="16554387"/>
    <w:rsid w:val="16635972"/>
    <w:rsid w:val="169432EE"/>
    <w:rsid w:val="16CE1332"/>
    <w:rsid w:val="16D943E6"/>
    <w:rsid w:val="16F029BE"/>
    <w:rsid w:val="16F31D61"/>
    <w:rsid w:val="16F512C4"/>
    <w:rsid w:val="17207F1E"/>
    <w:rsid w:val="17472444"/>
    <w:rsid w:val="174E6AC3"/>
    <w:rsid w:val="17502880"/>
    <w:rsid w:val="17601F3E"/>
    <w:rsid w:val="17936F5E"/>
    <w:rsid w:val="17974F2E"/>
    <w:rsid w:val="17A503A1"/>
    <w:rsid w:val="17A65AA3"/>
    <w:rsid w:val="17AC3433"/>
    <w:rsid w:val="17B05EB4"/>
    <w:rsid w:val="17B35DE3"/>
    <w:rsid w:val="17C54DCB"/>
    <w:rsid w:val="17C57B27"/>
    <w:rsid w:val="17C67295"/>
    <w:rsid w:val="17D914D5"/>
    <w:rsid w:val="17DA3D26"/>
    <w:rsid w:val="17DC59D0"/>
    <w:rsid w:val="17F50FED"/>
    <w:rsid w:val="17FF5310"/>
    <w:rsid w:val="18007EA8"/>
    <w:rsid w:val="18292223"/>
    <w:rsid w:val="1833463C"/>
    <w:rsid w:val="185912B9"/>
    <w:rsid w:val="185F2CEC"/>
    <w:rsid w:val="186E0A2F"/>
    <w:rsid w:val="18913E59"/>
    <w:rsid w:val="18C41AD3"/>
    <w:rsid w:val="18CE75E1"/>
    <w:rsid w:val="18D006C4"/>
    <w:rsid w:val="18D3313E"/>
    <w:rsid w:val="18DE501A"/>
    <w:rsid w:val="18E06B77"/>
    <w:rsid w:val="18F02295"/>
    <w:rsid w:val="18F36260"/>
    <w:rsid w:val="19225C28"/>
    <w:rsid w:val="192C50F3"/>
    <w:rsid w:val="19423BDF"/>
    <w:rsid w:val="1942635C"/>
    <w:rsid w:val="194A5924"/>
    <w:rsid w:val="194C7A04"/>
    <w:rsid w:val="196C6AC4"/>
    <w:rsid w:val="197E6E3F"/>
    <w:rsid w:val="19A62B5C"/>
    <w:rsid w:val="19B83FE9"/>
    <w:rsid w:val="19BE6BAC"/>
    <w:rsid w:val="19C909EB"/>
    <w:rsid w:val="19C97D4D"/>
    <w:rsid w:val="19D11179"/>
    <w:rsid w:val="19D45EE5"/>
    <w:rsid w:val="1A036B92"/>
    <w:rsid w:val="1A145C32"/>
    <w:rsid w:val="1A1A5F5C"/>
    <w:rsid w:val="1A1E03B5"/>
    <w:rsid w:val="1A235E49"/>
    <w:rsid w:val="1A2509E2"/>
    <w:rsid w:val="1A322758"/>
    <w:rsid w:val="1A4A4649"/>
    <w:rsid w:val="1A5C40BA"/>
    <w:rsid w:val="1A6531E5"/>
    <w:rsid w:val="1A76647F"/>
    <w:rsid w:val="1A7C4E02"/>
    <w:rsid w:val="1A7D090D"/>
    <w:rsid w:val="1A8C10E3"/>
    <w:rsid w:val="1A907276"/>
    <w:rsid w:val="1A994808"/>
    <w:rsid w:val="1AA22BB7"/>
    <w:rsid w:val="1AB6160E"/>
    <w:rsid w:val="1ACD2B7E"/>
    <w:rsid w:val="1ACE092A"/>
    <w:rsid w:val="1AD73EAC"/>
    <w:rsid w:val="1AD85A04"/>
    <w:rsid w:val="1AE03B7F"/>
    <w:rsid w:val="1AEB2702"/>
    <w:rsid w:val="1AF10279"/>
    <w:rsid w:val="1AF93BEC"/>
    <w:rsid w:val="1AFB039E"/>
    <w:rsid w:val="1B317F6D"/>
    <w:rsid w:val="1B342A49"/>
    <w:rsid w:val="1B3A250F"/>
    <w:rsid w:val="1B6431DA"/>
    <w:rsid w:val="1BAB5BAC"/>
    <w:rsid w:val="1BAE6C8A"/>
    <w:rsid w:val="1BB10E66"/>
    <w:rsid w:val="1BB75673"/>
    <w:rsid w:val="1BB82522"/>
    <w:rsid w:val="1BBC7DEC"/>
    <w:rsid w:val="1BD525AB"/>
    <w:rsid w:val="1BEB4E73"/>
    <w:rsid w:val="1BF855EB"/>
    <w:rsid w:val="1C14163B"/>
    <w:rsid w:val="1C160DB9"/>
    <w:rsid w:val="1C1D08AB"/>
    <w:rsid w:val="1C2013EF"/>
    <w:rsid w:val="1C214452"/>
    <w:rsid w:val="1C3037FD"/>
    <w:rsid w:val="1C361E1A"/>
    <w:rsid w:val="1C36766C"/>
    <w:rsid w:val="1C49567B"/>
    <w:rsid w:val="1C660A1D"/>
    <w:rsid w:val="1C7B3223"/>
    <w:rsid w:val="1C7E42A6"/>
    <w:rsid w:val="1CA514F0"/>
    <w:rsid w:val="1CAB0769"/>
    <w:rsid w:val="1CEB057B"/>
    <w:rsid w:val="1CF27769"/>
    <w:rsid w:val="1D0E6AC0"/>
    <w:rsid w:val="1D104198"/>
    <w:rsid w:val="1D1559E6"/>
    <w:rsid w:val="1D272761"/>
    <w:rsid w:val="1D2A6EEF"/>
    <w:rsid w:val="1D2B5741"/>
    <w:rsid w:val="1D392CD5"/>
    <w:rsid w:val="1D6E4E1B"/>
    <w:rsid w:val="1D7541D9"/>
    <w:rsid w:val="1D854F49"/>
    <w:rsid w:val="1D961B44"/>
    <w:rsid w:val="1D9B4128"/>
    <w:rsid w:val="1D9D4020"/>
    <w:rsid w:val="1DB25492"/>
    <w:rsid w:val="1DCF6C4F"/>
    <w:rsid w:val="1DD318E8"/>
    <w:rsid w:val="1DDC070E"/>
    <w:rsid w:val="1DF5557A"/>
    <w:rsid w:val="1E020A4B"/>
    <w:rsid w:val="1E1138B2"/>
    <w:rsid w:val="1E17464E"/>
    <w:rsid w:val="1E215FC8"/>
    <w:rsid w:val="1E37678B"/>
    <w:rsid w:val="1E485E89"/>
    <w:rsid w:val="1E5933F3"/>
    <w:rsid w:val="1E654502"/>
    <w:rsid w:val="1E6C5556"/>
    <w:rsid w:val="1E702582"/>
    <w:rsid w:val="1E801F14"/>
    <w:rsid w:val="1E883FE4"/>
    <w:rsid w:val="1E8B58CA"/>
    <w:rsid w:val="1E931357"/>
    <w:rsid w:val="1EA573D0"/>
    <w:rsid w:val="1EBE0726"/>
    <w:rsid w:val="1ECC6E93"/>
    <w:rsid w:val="1ECD302E"/>
    <w:rsid w:val="1F146CD9"/>
    <w:rsid w:val="1F2A0B1D"/>
    <w:rsid w:val="1F2F4299"/>
    <w:rsid w:val="1F32734D"/>
    <w:rsid w:val="1F394FF1"/>
    <w:rsid w:val="1F3B66B1"/>
    <w:rsid w:val="1F5A09A1"/>
    <w:rsid w:val="1F6B082D"/>
    <w:rsid w:val="1F6E12B8"/>
    <w:rsid w:val="1F787013"/>
    <w:rsid w:val="1F923A05"/>
    <w:rsid w:val="1FAA6C81"/>
    <w:rsid w:val="1FBB12AF"/>
    <w:rsid w:val="1FC65AC1"/>
    <w:rsid w:val="1FCE0366"/>
    <w:rsid w:val="1FD93A53"/>
    <w:rsid w:val="1FEE3FE0"/>
    <w:rsid w:val="1FF21788"/>
    <w:rsid w:val="201468A1"/>
    <w:rsid w:val="202B61AB"/>
    <w:rsid w:val="20372310"/>
    <w:rsid w:val="203D2B0D"/>
    <w:rsid w:val="2045646B"/>
    <w:rsid w:val="204C2F72"/>
    <w:rsid w:val="204C4146"/>
    <w:rsid w:val="20623D49"/>
    <w:rsid w:val="207F058D"/>
    <w:rsid w:val="208C237C"/>
    <w:rsid w:val="20961C7F"/>
    <w:rsid w:val="20C30632"/>
    <w:rsid w:val="20C4225E"/>
    <w:rsid w:val="20C863FE"/>
    <w:rsid w:val="20CF49B1"/>
    <w:rsid w:val="20D04EFC"/>
    <w:rsid w:val="20F44FCC"/>
    <w:rsid w:val="21026758"/>
    <w:rsid w:val="210B5792"/>
    <w:rsid w:val="21292D36"/>
    <w:rsid w:val="214A2820"/>
    <w:rsid w:val="21531286"/>
    <w:rsid w:val="21654AF1"/>
    <w:rsid w:val="21745B55"/>
    <w:rsid w:val="21827A67"/>
    <w:rsid w:val="21CB32D4"/>
    <w:rsid w:val="21D30FC0"/>
    <w:rsid w:val="21D72A56"/>
    <w:rsid w:val="21DB332B"/>
    <w:rsid w:val="21DF1319"/>
    <w:rsid w:val="21E317F5"/>
    <w:rsid w:val="21EA5A78"/>
    <w:rsid w:val="21EE5E48"/>
    <w:rsid w:val="21F67BB0"/>
    <w:rsid w:val="21FF39DB"/>
    <w:rsid w:val="22070E6F"/>
    <w:rsid w:val="220A3BB3"/>
    <w:rsid w:val="222357D1"/>
    <w:rsid w:val="222F775A"/>
    <w:rsid w:val="22430163"/>
    <w:rsid w:val="224A5F09"/>
    <w:rsid w:val="22551FB3"/>
    <w:rsid w:val="2261229C"/>
    <w:rsid w:val="22692E2A"/>
    <w:rsid w:val="22BF41CE"/>
    <w:rsid w:val="22D91964"/>
    <w:rsid w:val="22ED21FF"/>
    <w:rsid w:val="22F6604F"/>
    <w:rsid w:val="232F7C09"/>
    <w:rsid w:val="233053A9"/>
    <w:rsid w:val="233E3F55"/>
    <w:rsid w:val="234F77A5"/>
    <w:rsid w:val="23514531"/>
    <w:rsid w:val="236C6DC3"/>
    <w:rsid w:val="236D6311"/>
    <w:rsid w:val="23807414"/>
    <w:rsid w:val="238A183D"/>
    <w:rsid w:val="238C4F85"/>
    <w:rsid w:val="23906461"/>
    <w:rsid w:val="23947BD6"/>
    <w:rsid w:val="23A2740B"/>
    <w:rsid w:val="23AC6ACF"/>
    <w:rsid w:val="23BD5D9E"/>
    <w:rsid w:val="23CD27D2"/>
    <w:rsid w:val="23EA49DD"/>
    <w:rsid w:val="23EB5649"/>
    <w:rsid w:val="240D6900"/>
    <w:rsid w:val="241D0EED"/>
    <w:rsid w:val="244537A0"/>
    <w:rsid w:val="24503CA4"/>
    <w:rsid w:val="24716CA2"/>
    <w:rsid w:val="248765C5"/>
    <w:rsid w:val="24973D0A"/>
    <w:rsid w:val="249A7154"/>
    <w:rsid w:val="24AB66D4"/>
    <w:rsid w:val="24C433D5"/>
    <w:rsid w:val="24DE69B8"/>
    <w:rsid w:val="24DF6366"/>
    <w:rsid w:val="24EB69BB"/>
    <w:rsid w:val="24FA696E"/>
    <w:rsid w:val="252B333C"/>
    <w:rsid w:val="252C178B"/>
    <w:rsid w:val="25403C5A"/>
    <w:rsid w:val="25405AFA"/>
    <w:rsid w:val="25510556"/>
    <w:rsid w:val="256B6F0F"/>
    <w:rsid w:val="256D6525"/>
    <w:rsid w:val="25795C9D"/>
    <w:rsid w:val="257E1266"/>
    <w:rsid w:val="25811D5E"/>
    <w:rsid w:val="25903CE8"/>
    <w:rsid w:val="25A11320"/>
    <w:rsid w:val="25BB54DD"/>
    <w:rsid w:val="25CE0F7F"/>
    <w:rsid w:val="26216BB5"/>
    <w:rsid w:val="262F052D"/>
    <w:rsid w:val="2651506A"/>
    <w:rsid w:val="265761A4"/>
    <w:rsid w:val="266142F8"/>
    <w:rsid w:val="26644FCC"/>
    <w:rsid w:val="266A0F41"/>
    <w:rsid w:val="26714B58"/>
    <w:rsid w:val="26767794"/>
    <w:rsid w:val="26823137"/>
    <w:rsid w:val="268D5FA9"/>
    <w:rsid w:val="26B132B3"/>
    <w:rsid w:val="26E46F81"/>
    <w:rsid w:val="26EA3E85"/>
    <w:rsid w:val="27075DCA"/>
    <w:rsid w:val="27076D67"/>
    <w:rsid w:val="27134491"/>
    <w:rsid w:val="27340FF9"/>
    <w:rsid w:val="273B0275"/>
    <w:rsid w:val="27412260"/>
    <w:rsid w:val="274142DF"/>
    <w:rsid w:val="2742746B"/>
    <w:rsid w:val="275262D7"/>
    <w:rsid w:val="27570EA7"/>
    <w:rsid w:val="27592562"/>
    <w:rsid w:val="27675CA0"/>
    <w:rsid w:val="276F1B83"/>
    <w:rsid w:val="2775275C"/>
    <w:rsid w:val="279C0F22"/>
    <w:rsid w:val="27AF69DE"/>
    <w:rsid w:val="27C37FB9"/>
    <w:rsid w:val="27CC58CA"/>
    <w:rsid w:val="27D4347B"/>
    <w:rsid w:val="27D46B03"/>
    <w:rsid w:val="27D65007"/>
    <w:rsid w:val="27DD32D4"/>
    <w:rsid w:val="27DD78AA"/>
    <w:rsid w:val="27F96370"/>
    <w:rsid w:val="27FC4A15"/>
    <w:rsid w:val="280F512D"/>
    <w:rsid w:val="2814241B"/>
    <w:rsid w:val="28220B11"/>
    <w:rsid w:val="283E0982"/>
    <w:rsid w:val="285F6F50"/>
    <w:rsid w:val="28650F90"/>
    <w:rsid w:val="28673EB0"/>
    <w:rsid w:val="287D1A92"/>
    <w:rsid w:val="28853299"/>
    <w:rsid w:val="28894888"/>
    <w:rsid w:val="288B2A30"/>
    <w:rsid w:val="28BF240A"/>
    <w:rsid w:val="28DA7F43"/>
    <w:rsid w:val="28EE1F72"/>
    <w:rsid w:val="28F27833"/>
    <w:rsid w:val="28FE6013"/>
    <w:rsid w:val="290F6B72"/>
    <w:rsid w:val="291C3316"/>
    <w:rsid w:val="29354A86"/>
    <w:rsid w:val="294D7C6B"/>
    <w:rsid w:val="29502ABD"/>
    <w:rsid w:val="296911BC"/>
    <w:rsid w:val="29695A54"/>
    <w:rsid w:val="298E602D"/>
    <w:rsid w:val="29955C5C"/>
    <w:rsid w:val="29977E8B"/>
    <w:rsid w:val="29987105"/>
    <w:rsid w:val="2999071C"/>
    <w:rsid w:val="29A84BD1"/>
    <w:rsid w:val="29AA4B90"/>
    <w:rsid w:val="29AE6C52"/>
    <w:rsid w:val="29D26469"/>
    <w:rsid w:val="29D6372D"/>
    <w:rsid w:val="29E36BC9"/>
    <w:rsid w:val="29E80CCA"/>
    <w:rsid w:val="29E96536"/>
    <w:rsid w:val="29EC597A"/>
    <w:rsid w:val="29EC7E8B"/>
    <w:rsid w:val="29EE2523"/>
    <w:rsid w:val="2A0A7C24"/>
    <w:rsid w:val="2A26103D"/>
    <w:rsid w:val="2A33655D"/>
    <w:rsid w:val="2A491FDC"/>
    <w:rsid w:val="2A551EA2"/>
    <w:rsid w:val="2A5F2037"/>
    <w:rsid w:val="2A6059AB"/>
    <w:rsid w:val="2A60604A"/>
    <w:rsid w:val="2A664C47"/>
    <w:rsid w:val="2A8D3B4C"/>
    <w:rsid w:val="2A910387"/>
    <w:rsid w:val="2A914AAB"/>
    <w:rsid w:val="2AB423A1"/>
    <w:rsid w:val="2ABA748D"/>
    <w:rsid w:val="2ABF3AB5"/>
    <w:rsid w:val="2ACE32B1"/>
    <w:rsid w:val="2ACF114B"/>
    <w:rsid w:val="2AFA48FA"/>
    <w:rsid w:val="2B034197"/>
    <w:rsid w:val="2B1049F2"/>
    <w:rsid w:val="2B34679C"/>
    <w:rsid w:val="2B39560B"/>
    <w:rsid w:val="2B3A118F"/>
    <w:rsid w:val="2B4461BA"/>
    <w:rsid w:val="2B4C4E2B"/>
    <w:rsid w:val="2B5919E3"/>
    <w:rsid w:val="2B882D63"/>
    <w:rsid w:val="2BB138E7"/>
    <w:rsid w:val="2BC1653B"/>
    <w:rsid w:val="2BED5CD2"/>
    <w:rsid w:val="2BF628E9"/>
    <w:rsid w:val="2C035AA9"/>
    <w:rsid w:val="2C0E6588"/>
    <w:rsid w:val="2C452B0F"/>
    <w:rsid w:val="2C4F241F"/>
    <w:rsid w:val="2C5C25BF"/>
    <w:rsid w:val="2C64119F"/>
    <w:rsid w:val="2C66054A"/>
    <w:rsid w:val="2C732CBF"/>
    <w:rsid w:val="2C742ADF"/>
    <w:rsid w:val="2C927CF2"/>
    <w:rsid w:val="2CAC0573"/>
    <w:rsid w:val="2CCC39E9"/>
    <w:rsid w:val="2CD444D8"/>
    <w:rsid w:val="2CE300EA"/>
    <w:rsid w:val="2D0C7B73"/>
    <w:rsid w:val="2D1B28F1"/>
    <w:rsid w:val="2D1F1B15"/>
    <w:rsid w:val="2D254E5B"/>
    <w:rsid w:val="2D38467E"/>
    <w:rsid w:val="2D903D53"/>
    <w:rsid w:val="2D932543"/>
    <w:rsid w:val="2D996BAC"/>
    <w:rsid w:val="2D9A0ECB"/>
    <w:rsid w:val="2D9B0627"/>
    <w:rsid w:val="2DA2090F"/>
    <w:rsid w:val="2DAA1218"/>
    <w:rsid w:val="2DAC4AC6"/>
    <w:rsid w:val="2DCA3A39"/>
    <w:rsid w:val="2DCE45F2"/>
    <w:rsid w:val="2DD65EBF"/>
    <w:rsid w:val="2DE602DF"/>
    <w:rsid w:val="2E0F1A0E"/>
    <w:rsid w:val="2E1A01DE"/>
    <w:rsid w:val="2E3F47D8"/>
    <w:rsid w:val="2E4A353B"/>
    <w:rsid w:val="2E57526A"/>
    <w:rsid w:val="2E647995"/>
    <w:rsid w:val="2E7931FD"/>
    <w:rsid w:val="2E946ACD"/>
    <w:rsid w:val="2E9E61F1"/>
    <w:rsid w:val="2EA60813"/>
    <w:rsid w:val="2EAE142A"/>
    <w:rsid w:val="2EB77A16"/>
    <w:rsid w:val="2EB94590"/>
    <w:rsid w:val="2EDC63FB"/>
    <w:rsid w:val="2EE33DBC"/>
    <w:rsid w:val="2EF4079F"/>
    <w:rsid w:val="2EF82E8C"/>
    <w:rsid w:val="2F0A410F"/>
    <w:rsid w:val="2F4F466D"/>
    <w:rsid w:val="2F532A92"/>
    <w:rsid w:val="2F5438D1"/>
    <w:rsid w:val="2F550934"/>
    <w:rsid w:val="2F722EC1"/>
    <w:rsid w:val="2F74539E"/>
    <w:rsid w:val="2F786890"/>
    <w:rsid w:val="2F86780E"/>
    <w:rsid w:val="2FA072CE"/>
    <w:rsid w:val="2FBF1B87"/>
    <w:rsid w:val="2FBF5897"/>
    <w:rsid w:val="2FEC463A"/>
    <w:rsid w:val="2FEF10AD"/>
    <w:rsid w:val="2FF01B5D"/>
    <w:rsid w:val="2FF13DFD"/>
    <w:rsid w:val="301566E4"/>
    <w:rsid w:val="301A7644"/>
    <w:rsid w:val="30380EFD"/>
    <w:rsid w:val="304737B8"/>
    <w:rsid w:val="30545580"/>
    <w:rsid w:val="30687136"/>
    <w:rsid w:val="306E071B"/>
    <w:rsid w:val="30743B43"/>
    <w:rsid w:val="30762ED1"/>
    <w:rsid w:val="30766E83"/>
    <w:rsid w:val="3077056D"/>
    <w:rsid w:val="307C65D9"/>
    <w:rsid w:val="308145A4"/>
    <w:rsid w:val="309F3788"/>
    <w:rsid w:val="30B265CB"/>
    <w:rsid w:val="30C032DC"/>
    <w:rsid w:val="30CD3556"/>
    <w:rsid w:val="30CF03F5"/>
    <w:rsid w:val="30D164AC"/>
    <w:rsid w:val="30E47DAF"/>
    <w:rsid w:val="30E87759"/>
    <w:rsid w:val="30EB0168"/>
    <w:rsid w:val="310444EE"/>
    <w:rsid w:val="312735D9"/>
    <w:rsid w:val="3130516F"/>
    <w:rsid w:val="31313411"/>
    <w:rsid w:val="31450FEF"/>
    <w:rsid w:val="315A0CE4"/>
    <w:rsid w:val="316C085B"/>
    <w:rsid w:val="3172674C"/>
    <w:rsid w:val="31782ABA"/>
    <w:rsid w:val="317D57D1"/>
    <w:rsid w:val="317F2525"/>
    <w:rsid w:val="318A6539"/>
    <w:rsid w:val="318C022F"/>
    <w:rsid w:val="318C0787"/>
    <w:rsid w:val="31942B20"/>
    <w:rsid w:val="31A25149"/>
    <w:rsid w:val="31AF3BC6"/>
    <w:rsid w:val="31CC7F43"/>
    <w:rsid w:val="31E433BD"/>
    <w:rsid w:val="31EA14EF"/>
    <w:rsid w:val="31ED2BBC"/>
    <w:rsid w:val="31F04974"/>
    <w:rsid w:val="320935D4"/>
    <w:rsid w:val="32144F6B"/>
    <w:rsid w:val="3230461C"/>
    <w:rsid w:val="32323932"/>
    <w:rsid w:val="323359E0"/>
    <w:rsid w:val="323366BD"/>
    <w:rsid w:val="323A3F37"/>
    <w:rsid w:val="323D1CE2"/>
    <w:rsid w:val="323D4F61"/>
    <w:rsid w:val="32510646"/>
    <w:rsid w:val="32554D65"/>
    <w:rsid w:val="32556D07"/>
    <w:rsid w:val="325B272E"/>
    <w:rsid w:val="32645FA0"/>
    <w:rsid w:val="328768AB"/>
    <w:rsid w:val="32950B4E"/>
    <w:rsid w:val="32960323"/>
    <w:rsid w:val="32A110EC"/>
    <w:rsid w:val="32AE044F"/>
    <w:rsid w:val="32BD5514"/>
    <w:rsid w:val="32CE76AE"/>
    <w:rsid w:val="32DB0A97"/>
    <w:rsid w:val="32FF04A8"/>
    <w:rsid w:val="33183EDE"/>
    <w:rsid w:val="33267D62"/>
    <w:rsid w:val="33413F82"/>
    <w:rsid w:val="334D1C32"/>
    <w:rsid w:val="33533877"/>
    <w:rsid w:val="336127FB"/>
    <w:rsid w:val="33792A26"/>
    <w:rsid w:val="33A45B91"/>
    <w:rsid w:val="33AA4B77"/>
    <w:rsid w:val="33C04BC7"/>
    <w:rsid w:val="33E10803"/>
    <w:rsid w:val="34131A69"/>
    <w:rsid w:val="3416239F"/>
    <w:rsid w:val="341F7403"/>
    <w:rsid w:val="342E1B6C"/>
    <w:rsid w:val="344D6EFD"/>
    <w:rsid w:val="34504F76"/>
    <w:rsid w:val="34531A14"/>
    <w:rsid w:val="345B0303"/>
    <w:rsid w:val="347237AF"/>
    <w:rsid w:val="34855900"/>
    <w:rsid w:val="349C2FCA"/>
    <w:rsid w:val="34B12997"/>
    <w:rsid w:val="34BB6B8C"/>
    <w:rsid w:val="34BD4225"/>
    <w:rsid w:val="34C752F6"/>
    <w:rsid w:val="34E628B4"/>
    <w:rsid w:val="34F308DB"/>
    <w:rsid w:val="35077DAC"/>
    <w:rsid w:val="350864C2"/>
    <w:rsid w:val="35361927"/>
    <w:rsid w:val="3583684E"/>
    <w:rsid w:val="358B6936"/>
    <w:rsid w:val="35902289"/>
    <w:rsid w:val="359A765A"/>
    <w:rsid w:val="359A790D"/>
    <w:rsid w:val="359B0CA4"/>
    <w:rsid w:val="35A326E4"/>
    <w:rsid w:val="35A435EE"/>
    <w:rsid w:val="35B22666"/>
    <w:rsid w:val="35B33E11"/>
    <w:rsid w:val="35B922F8"/>
    <w:rsid w:val="35C43C94"/>
    <w:rsid w:val="35C9081B"/>
    <w:rsid w:val="35CC61A9"/>
    <w:rsid w:val="35CE4FC1"/>
    <w:rsid w:val="35CF0699"/>
    <w:rsid w:val="35D30D2A"/>
    <w:rsid w:val="35D877B1"/>
    <w:rsid w:val="35D97A63"/>
    <w:rsid w:val="35E92997"/>
    <w:rsid w:val="35EA1779"/>
    <w:rsid w:val="36025178"/>
    <w:rsid w:val="36052A24"/>
    <w:rsid w:val="361E2AF1"/>
    <w:rsid w:val="361F5816"/>
    <w:rsid w:val="3635141F"/>
    <w:rsid w:val="367B08E9"/>
    <w:rsid w:val="36863185"/>
    <w:rsid w:val="368D02E0"/>
    <w:rsid w:val="36971AC1"/>
    <w:rsid w:val="36B261C8"/>
    <w:rsid w:val="36EA01AD"/>
    <w:rsid w:val="36FE0B10"/>
    <w:rsid w:val="37172701"/>
    <w:rsid w:val="372B27BF"/>
    <w:rsid w:val="3732564B"/>
    <w:rsid w:val="3738669C"/>
    <w:rsid w:val="37504C6F"/>
    <w:rsid w:val="375E65F7"/>
    <w:rsid w:val="37664226"/>
    <w:rsid w:val="3784703A"/>
    <w:rsid w:val="37964BD7"/>
    <w:rsid w:val="37D2035D"/>
    <w:rsid w:val="37F63E14"/>
    <w:rsid w:val="38260453"/>
    <w:rsid w:val="382B3A76"/>
    <w:rsid w:val="38333BE4"/>
    <w:rsid w:val="384F6607"/>
    <w:rsid w:val="38762086"/>
    <w:rsid w:val="387A48E3"/>
    <w:rsid w:val="387B6676"/>
    <w:rsid w:val="387B7811"/>
    <w:rsid w:val="387C6D67"/>
    <w:rsid w:val="388D1F33"/>
    <w:rsid w:val="38B277D8"/>
    <w:rsid w:val="38DA3B43"/>
    <w:rsid w:val="38F137E2"/>
    <w:rsid w:val="38FF7E9B"/>
    <w:rsid w:val="3905041C"/>
    <w:rsid w:val="39136D9B"/>
    <w:rsid w:val="39190194"/>
    <w:rsid w:val="392468CE"/>
    <w:rsid w:val="39505C25"/>
    <w:rsid w:val="39630928"/>
    <w:rsid w:val="39686BC0"/>
    <w:rsid w:val="39706830"/>
    <w:rsid w:val="398C0A9C"/>
    <w:rsid w:val="398C3158"/>
    <w:rsid w:val="398D5F0D"/>
    <w:rsid w:val="39923FCB"/>
    <w:rsid w:val="39972D8F"/>
    <w:rsid w:val="39A21531"/>
    <w:rsid w:val="39AB4344"/>
    <w:rsid w:val="39CA2CD3"/>
    <w:rsid w:val="39D70BE6"/>
    <w:rsid w:val="39E70CEB"/>
    <w:rsid w:val="39EB468B"/>
    <w:rsid w:val="3A0E1DA2"/>
    <w:rsid w:val="3A1A174B"/>
    <w:rsid w:val="3A1C7497"/>
    <w:rsid w:val="3A364B20"/>
    <w:rsid w:val="3A4C5938"/>
    <w:rsid w:val="3A5522B8"/>
    <w:rsid w:val="3A7C622C"/>
    <w:rsid w:val="3A906F62"/>
    <w:rsid w:val="3AD35F9D"/>
    <w:rsid w:val="3B0F2E94"/>
    <w:rsid w:val="3B1072D7"/>
    <w:rsid w:val="3B14626E"/>
    <w:rsid w:val="3B2B40FC"/>
    <w:rsid w:val="3B32652E"/>
    <w:rsid w:val="3B382B35"/>
    <w:rsid w:val="3B463624"/>
    <w:rsid w:val="3B4C6799"/>
    <w:rsid w:val="3B6E66B5"/>
    <w:rsid w:val="3B801B01"/>
    <w:rsid w:val="3B866AED"/>
    <w:rsid w:val="3B886938"/>
    <w:rsid w:val="3B9A43C4"/>
    <w:rsid w:val="3BBB25AE"/>
    <w:rsid w:val="3BC35B77"/>
    <w:rsid w:val="3BCC2E3F"/>
    <w:rsid w:val="3BDB053E"/>
    <w:rsid w:val="3BE64ABD"/>
    <w:rsid w:val="3BEE152D"/>
    <w:rsid w:val="3C0857FC"/>
    <w:rsid w:val="3C355835"/>
    <w:rsid w:val="3C3A522C"/>
    <w:rsid w:val="3C427C84"/>
    <w:rsid w:val="3C4679B1"/>
    <w:rsid w:val="3C801D4A"/>
    <w:rsid w:val="3C8054A6"/>
    <w:rsid w:val="3C8432EF"/>
    <w:rsid w:val="3C8A2487"/>
    <w:rsid w:val="3C986074"/>
    <w:rsid w:val="3C9A31E9"/>
    <w:rsid w:val="3CA6413E"/>
    <w:rsid w:val="3CB95841"/>
    <w:rsid w:val="3CBB0AD0"/>
    <w:rsid w:val="3CBF5217"/>
    <w:rsid w:val="3CC33A1D"/>
    <w:rsid w:val="3CCA7E44"/>
    <w:rsid w:val="3CD00537"/>
    <w:rsid w:val="3CD22AF5"/>
    <w:rsid w:val="3CD87F84"/>
    <w:rsid w:val="3CDA5486"/>
    <w:rsid w:val="3CEC3ADC"/>
    <w:rsid w:val="3CF0385D"/>
    <w:rsid w:val="3CF45818"/>
    <w:rsid w:val="3CFC06C9"/>
    <w:rsid w:val="3D005FCE"/>
    <w:rsid w:val="3D0F6FB2"/>
    <w:rsid w:val="3D21313F"/>
    <w:rsid w:val="3D2B7286"/>
    <w:rsid w:val="3D3E30C8"/>
    <w:rsid w:val="3D4420C4"/>
    <w:rsid w:val="3D4812BA"/>
    <w:rsid w:val="3D497341"/>
    <w:rsid w:val="3D6504EB"/>
    <w:rsid w:val="3D836DBF"/>
    <w:rsid w:val="3D8B46A9"/>
    <w:rsid w:val="3D8D4043"/>
    <w:rsid w:val="3DA07968"/>
    <w:rsid w:val="3DB97072"/>
    <w:rsid w:val="3DC04AEF"/>
    <w:rsid w:val="3E010748"/>
    <w:rsid w:val="3E014F58"/>
    <w:rsid w:val="3E033B39"/>
    <w:rsid w:val="3E084D4A"/>
    <w:rsid w:val="3E08776F"/>
    <w:rsid w:val="3E2129CE"/>
    <w:rsid w:val="3E236579"/>
    <w:rsid w:val="3E356058"/>
    <w:rsid w:val="3E3E0FC3"/>
    <w:rsid w:val="3E5124B0"/>
    <w:rsid w:val="3E9A5298"/>
    <w:rsid w:val="3EB177DA"/>
    <w:rsid w:val="3EC65347"/>
    <w:rsid w:val="3EC7316B"/>
    <w:rsid w:val="3EE33FF5"/>
    <w:rsid w:val="3EF92A27"/>
    <w:rsid w:val="3F1D14C6"/>
    <w:rsid w:val="3F1E2025"/>
    <w:rsid w:val="3F416BE7"/>
    <w:rsid w:val="3F4E5A5B"/>
    <w:rsid w:val="3F4F0C66"/>
    <w:rsid w:val="3F5A4C65"/>
    <w:rsid w:val="3F633807"/>
    <w:rsid w:val="3F6611D6"/>
    <w:rsid w:val="3F80327D"/>
    <w:rsid w:val="3F810A52"/>
    <w:rsid w:val="3F817434"/>
    <w:rsid w:val="3F96553E"/>
    <w:rsid w:val="3FA1323D"/>
    <w:rsid w:val="3FA72C98"/>
    <w:rsid w:val="3FB14A35"/>
    <w:rsid w:val="3FCD65F9"/>
    <w:rsid w:val="3FCF20A1"/>
    <w:rsid w:val="3FDD09E8"/>
    <w:rsid w:val="3FED2A8A"/>
    <w:rsid w:val="3FEE57C0"/>
    <w:rsid w:val="40103CB4"/>
    <w:rsid w:val="401813EE"/>
    <w:rsid w:val="40263D2A"/>
    <w:rsid w:val="40345B95"/>
    <w:rsid w:val="40393AB6"/>
    <w:rsid w:val="404C1321"/>
    <w:rsid w:val="40515AD4"/>
    <w:rsid w:val="405928E1"/>
    <w:rsid w:val="405E4CE5"/>
    <w:rsid w:val="40667B16"/>
    <w:rsid w:val="4076157B"/>
    <w:rsid w:val="408D2B82"/>
    <w:rsid w:val="408E6A21"/>
    <w:rsid w:val="408F0C06"/>
    <w:rsid w:val="408F3EA0"/>
    <w:rsid w:val="40AB77C2"/>
    <w:rsid w:val="40CB2F36"/>
    <w:rsid w:val="40CE3BCF"/>
    <w:rsid w:val="40EC7AAD"/>
    <w:rsid w:val="40F51583"/>
    <w:rsid w:val="40FD02A9"/>
    <w:rsid w:val="40FD60F9"/>
    <w:rsid w:val="41087DCB"/>
    <w:rsid w:val="412B6201"/>
    <w:rsid w:val="41415295"/>
    <w:rsid w:val="41553037"/>
    <w:rsid w:val="416325BC"/>
    <w:rsid w:val="41796F00"/>
    <w:rsid w:val="418F6E0E"/>
    <w:rsid w:val="419E3AA3"/>
    <w:rsid w:val="41FD7438"/>
    <w:rsid w:val="421D0552"/>
    <w:rsid w:val="42311689"/>
    <w:rsid w:val="42570968"/>
    <w:rsid w:val="425D05E1"/>
    <w:rsid w:val="42643682"/>
    <w:rsid w:val="427E6FD4"/>
    <w:rsid w:val="4280107E"/>
    <w:rsid w:val="42B60B43"/>
    <w:rsid w:val="42B811FF"/>
    <w:rsid w:val="42DD66C0"/>
    <w:rsid w:val="42E00D65"/>
    <w:rsid w:val="4301131B"/>
    <w:rsid w:val="43101C86"/>
    <w:rsid w:val="43197D40"/>
    <w:rsid w:val="433B0E6E"/>
    <w:rsid w:val="43416B42"/>
    <w:rsid w:val="43486C85"/>
    <w:rsid w:val="4364403F"/>
    <w:rsid w:val="4365310B"/>
    <w:rsid w:val="4365385A"/>
    <w:rsid w:val="4375121E"/>
    <w:rsid w:val="43816A9C"/>
    <w:rsid w:val="43997454"/>
    <w:rsid w:val="43A3415F"/>
    <w:rsid w:val="43A918B1"/>
    <w:rsid w:val="43AC7EF9"/>
    <w:rsid w:val="43CF7AD7"/>
    <w:rsid w:val="43F128B9"/>
    <w:rsid w:val="43F303FA"/>
    <w:rsid w:val="43FA2AF7"/>
    <w:rsid w:val="440C4AFC"/>
    <w:rsid w:val="440D633D"/>
    <w:rsid w:val="441D29C7"/>
    <w:rsid w:val="44211FE0"/>
    <w:rsid w:val="443837DA"/>
    <w:rsid w:val="444F7B91"/>
    <w:rsid w:val="44560A29"/>
    <w:rsid w:val="44564387"/>
    <w:rsid w:val="445C748F"/>
    <w:rsid w:val="446B4B32"/>
    <w:rsid w:val="44863B66"/>
    <w:rsid w:val="44B7501E"/>
    <w:rsid w:val="44D043EE"/>
    <w:rsid w:val="44ED4AC8"/>
    <w:rsid w:val="44FB13D7"/>
    <w:rsid w:val="44FC47E0"/>
    <w:rsid w:val="45034BF9"/>
    <w:rsid w:val="450E672B"/>
    <w:rsid w:val="4513287F"/>
    <w:rsid w:val="45194FEC"/>
    <w:rsid w:val="45330470"/>
    <w:rsid w:val="453F4477"/>
    <w:rsid w:val="4547021A"/>
    <w:rsid w:val="454924E4"/>
    <w:rsid w:val="45563038"/>
    <w:rsid w:val="455B0A3D"/>
    <w:rsid w:val="455E5D9D"/>
    <w:rsid w:val="45795F12"/>
    <w:rsid w:val="45806777"/>
    <w:rsid w:val="458C44D8"/>
    <w:rsid w:val="45A1699B"/>
    <w:rsid w:val="45B804EB"/>
    <w:rsid w:val="45B933BA"/>
    <w:rsid w:val="45D81177"/>
    <w:rsid w:val="45D927DB"/>
    <w:rsid w:val="45F336D1"/>
    <w:rsid w:val="45F5478B"/>
    <w:rsid w:val="46166BB9"/>
    <w:rsid w:val="46262CE4"/>
    <w:rsid w:val="46290FEF"/>
    <w:rsid w:val="46330860"/>
    <w:rsid w:val="463E12CD"/>
    <w:rsid w:val="465516B4"/>
    <w:rsid w:val="466C0CC3"/>
    <w:rsid w:val="46791520"/>
    <w:rsid w:val="46931711"/>
    <w:rsid w:val="46B7507D"/>
    <w:rsid w:val="46B80FD0"/>
    <w:rsid w:val="46DD464E"/>
    <w:rsid w:val="46F1166A"/>
    <w:rsid w:val="470D1E37"/>
    <w:rsid w:val="471D5997"/>
    <w:rsid w:val="47204296"/>
    <w:rsid w:val="47342D09"/>
    <w:rsid w:val="474A22F8"/>
    <w:rsid w:val="474F11AF"/>
    <w:rsid w:val="4756571B"/>
    <w:rsid w:val="47691DA8"/>
    <w:rsid w:val="47733576"/>
    <w:rsid w:val="477D45E2"/>
    <w:rsid w:val="47994A60"/>
    <w:rsid w:val="479B05FD"/>
    <w:rsid w:val="47AF039F"/>
    <w:rsid w:val="47B20094"/>
    <w:rsid w:val="47BF4A37"/>
    <w:rsid w:val="47C808EE"/>
    <w:rsid w:val="47C829F6"/>
    <w:rsid w:val="47D97E7E"/>
    <w:rsid w:val="47DB0C72"/>
    <w:rsid w:val="47ED6822"/>
    <w:rsid w:val="47EE2977"/>
    <w:rsid w:val="480219F1"/>
    <w:rsid w:val="48046AD0"/>
    <w:rsid w:val="480665F6"/>
    <w:rsid w:val="480C51ED"/>
    <w:rsid w:val="48143A11"/>
    <w:rsid w:val="4815213D"/>
    <w:rsid w:val="4817109F"/>
    <w:rsid w:val="48206C8C"/>
    <w:rsid w:val="4825287E"/>
    <w:rsid w:val="48327AC7"/>
    <w:rsid w:val="484F280F"/>
    <w:rsid w:val="48501BB2"/>
    <w:rsid w:val="48632F02"/>
    <w:rsid w:val="48663176"/>
    <w:rsid w:val="486E57D0"/>
    <w:rsid w:val="4876552F"/>
    <w:rsid w:val="48797173"/>
    <w:rsid w:val="48910643"/>
    <w:rsid w:val="48996977"/>
    <w:rsid w:val="489C2B29"/>
    <w:rsid w:val="48A6017E"/>
    <w:rsid w:val="48AC1B1D"/>
    <w:rsid w:val="48AD3D30"/>
    <w:rsid w:val="48AF311E"/>
    <w:rsid w:val="48B914EA"/>
    <w:rsid w:val="48CC39B2"/>
    <w:rsid w:val="48D54326"/>
    <w:rsid w:val="48DA5442"/>
    <w:rsid w:val="490536D7"/>
    <w:rsid w:val="49144912"/>
    <w:rsid w:val="49157F45"/>
    <w:rsid w:val="4931620B"/>
    <w:rsid w:val="493671E5"/>
    <w:rsid w:val="494461DD"/>
    <w:rsid w:val="496C2995"/>
    <w:rsid w:val="496D3379"/>
    <w:rsid w:val="49783A8A"/>
    <w:rsid w:val="49913CA3"/>
    <w:rsid w:val="49A158A6"/>
    <w:rsid w:val="49A774FA"/>
    <w:rsid w:val="49AD4C9B"/>
    <w:rsid w:val="49D01052"/>
    <w:rsid w:val="49EB7C45"/>
    <w:rsid w:val="4A1D4506"/>
    <w:rsid w:val="4A6A5C34"/>
    <w:rsid w:val="4A8737D1"/>
    <w:rsid w:val="4A88705B"/>
    <w:rsid w:val="4A945F24"/>
    <w:rsid w:val="4ABC3699"/>
    <w:rsid w:val="4AC753AD"/>
    <w:rsid w:val="4AE40217"/>
    <w:rsid w:val="4AEE18C1"/>
    <w:rsid w:val="4AFE1530"/>
    <w:rsid w:val="4B172FB1"/>
    <w:rsid w:val="4B276874"/>
    <w:rsid w:val="4B3409BE"/>
    <w:rsid w:val="4B4E08AD"/>
    <w:rsid w:val="4B537016"/>
    <w:rsid w:val="4B5A590E"/>
    <w:rsid w:val="4B692EB1"/>
    <w:rsid w:val="4B722615"/>
    <w:rsid w:val="4B791D0F"/>
    <w:rsid w:val="4B961977"/>
    <w:rsid w:val="4BA04210"/>
    <w:rsid w:val="4BA61698"/>
    <w:rsid w:val="4BC832AC"/>
    <w:rsid w:val="4BD0485F"/>
    <w:rsid w:val="4BE04083"/>
    <w:rsid w:val="4BE50702"/>
    <w:rsid w:val="4BEC4964"/>
    <w:rsid w:val="4BEC6616"/>
    <w:rsid w:val="4C212C63"/>
    <w:rsid w:val="4C3E692D"/>
    <w:rsid w:val="4C3E6DE4"/>
    <w:rsid w:val="4C5F49C4"/>
    <w:rsid w:val="4C617BCE"/>
    <w:rsid w:val="4C6325C1"/>
    <w:rsid w:val="4C6A528B"/>
    <w:rsid w:val="4C6A5EBC"/>
    <w:rsid w:val="4C7407B4"/>
    <w:rsid w:val="4C7C6283"/>
    <w:rsid w:val="4C887569"/>
    <w:rsid w:val="4C9F6456"/>
    <w:rsid w:val="4CA21F13"/>
    <w:rsid w:val="4CB41781"/>
    <w:rsid w:val="4CBA7841"/>
    <w:rsid w:val="4CC1169B"/>
    <w:rsid w:val="4CC544F2"/>
    <w:rsid w:val="4CC60879"/>
    <w:rsid w:val="4CD12FAF"/>
    <w:rsid w:val="4CD8044F"/>
    <w:rsid w:val="4CF47174"/>
    <w:rsid w:val="4CFC3059"/>
    <w:rsid w:val="4D04493A"/>
    <w:rsid w:val="4D074113"/>
    <w:rsid w:val="4D0910D1"/>
    <w:rsid w:val="4D177D4D"/>
    <w:rsid w:val="4D294FD9"/>
    <w:rsid w:val="4D2A39AF"/>
    <w:rsid w:val="4D3D5947"/>
    <w:rsid w:val="4D71764F"/>
    <w:rsid w:val="4D891220"/>
    <w:rsid w:val="4D98563B"/>
    <w:rsid w:val="4D9F7A6D"/>
    <w:rsid w:val="4DA26247"/>
    <w:rsid w:val="4DA6023E"/>
    <w:rsid w:val="4DCE3A01"/>
    <w:rsid w:val="4DE466E4"/>
    <w:rsid w:val="4DED74D5"/>
    <w:rsid w:val="4DEF29AA"/>
    <w:rsid w:val="4DFA732F"/>
    <w:rsid w:val="4E211CC5"/>
    <w:rsid w:val="4E267842"/>
    <w:rsid w:val="4E30091A"/>
    <w:rsid w:val="4E5128D2"/>
    <w:rsid w:val="4E552BCC"/>
    <w:rsid w:val="4E58536C"/>
    <w:rsid w:val="4E650350"/>
    <w:rsid w:val="4E7679B4"/>
    <w:rsid w:val="4E7812E8"/>
    <w:rsid w:val="4E926869"/>
    <w:rsid w:val="4E941958"/>
    <w:rsid w:val="4EA11FAC"/>
    <w:rsid w:val="4EC863E9"/>
    <w:rsid w:val="4ECC56E8"/>
    <w:rsid w:val="4EDC50DF"/>
    <w:rsid w:val="4EFF3568"/>
    <w:rsid w:val="4F06509B"/>
    <w:rsid w:val="4F0A7E04"/>
    <w:rsid w:val="4F163A24"/>
    <w:rsid w:val="4F1D1A6E"/>
    <w:rsid w:val="4F2E2E87"/>
    <w:rsid w:val="4F2F1EBC"/>
    <w:rsid w:val="4F39723C"/>
    <w:rsid w:val="4F494735"/>
    <w:rsid w:val="4F5F204E"/>
    <w:rsid w:val="4F606F34"/>
    <w:rsid w:val="4F656BB2"/>
    <w:rsid w:val="4F700417"/>
    <w:rsid w:val="4F741132"/>
    <w:rsid w:val="4F8D6510"/>
    <w:rsid w:val="4F961E93"/>
    <w:rsid w:val="4F972B06"/>
    <w:rsid w:val="4FA547D6"/>
    <w:rsid w:val="4FAF0B03"/>
    <w:rsid w:val="4FB8612E"/>
    <w:rsid w:val="4FBD0E07"/>
    <w:rsid w:val="4FC109B4"/>
    <w:rsid w:val="4FC425A7"/>
    <w:rsid w:val="4FCE3177"/>
    <w:rsid w:val="4FDA1CA4"/>
    <w:rsid w:val="50031066"/>
    <w:rsid w:val="500F2D0D"/>
    <w:rsid w:val="50163C04"/>
    <w:rsid w:val="50165D95"/>
    <w:rsid w:val="501E3027"/>
    <w:rsid w:val="50215076"/>
    <w:rsid w:val="50230265"/>
    <w:rsid w:val="502431FB"/>
    <w:rsid w:val="50364497"/>
    <w:rsid w:val="503912FC"/>
    <w:rsid w:val="505F3A2E"/>
    <w:rsid w:val="5064534C"/>
    <w:rsid w:val="506708CE"/>
    <w:rsid w:val="50A3215D"/>
    <w:rsid w:val="50C50ACB"/>
    <w:rsid w:val="50CC0F01"/>
    <w:rsid w:val="50D651A0"/>
    <w:rsid w:val="50EC0388"/>
    <w:rsid w:val="50F24B94"/>
    <w:rsid w:val="510D06D6"/>
    <w:rsid w:val="513E32E0"/>
    <w:rsid w:val="514624B2"/>
    <w:rsid w:val="5164687E"/>
    <w:rsid w:val="51692BA3"/>
    <w:rsid w:val="517C0A46"/>
    <w:rsid w:val="5182397F"/>
    <w:rsid w:val="518E14D2"/>
    <w:rsid w:val="519447D8"/>
    <w:rsid w:val="519C1787"/>
    <w:rsid w:val="51B42BB4"/>
    <w:rsid w:val="51D60801"/>
    <w:rsid w:val="52277156"/>
    <w:rsid w:val="52380B0D"/>
    <w:rsid w:val="524034B4"/>
    <w:rsid w:val="52540DC7"/>
    <w:rsid w:val="525E2606"/>
    <w:rsid w:val="52732E73"/>
    <w:rsid w:val="528F7BBE"/>
    <w:rsid w:val="529B5724"/>
    <w:rsid w:val="52AD64EB"/>
    <w:rsid w:val="52B63723"/>
    <w:rsid w:val="52CA35EF"/>
    <w:rsid w:val="52D22737"/>
    <w:rsid w:val="52DC4A92"/>
    <w:rsid w:val="52F34059"/>
    <w:rsid w:val="52FE5257"/>
    <w:rsid w:val="53107162"/>
    <w:rsid w:val="53366333"/>
    <w:rsid w:val="53392A94"/>
    <w:rsid w:val="533F4954"/>
    <w:rsid w:val="534E6680"/>
    <w:rsid w:val="535160BA"/>
    <w:rsid w:val="53767106"/>
    <w:rsid w:val="538718C9"/>
    <w:rsid w:val="539378A7"/>
    <w:rsid w:val="5398481E"/>
    <w:rsid w:val="539D1F5C"/>
    <w:rsid w:val="53A00F46"/>
    <w:rsid w:val="53B413B1"/>
    <w:rsid w:val="53BE2E0C"/>
    <w:rsid w:val="53CF6B8C"/>
    <w:rsid w:val="53DF2B30"/>
    <w:rsid w:val="53DF52AD"/>
    <w:rsid w:val="53DF6C78"/>
    <w:rsid w:val="53E36319"/>
    <w:rsid w:val="53EB3264"/>
    <w:rsid w:val="53FC47C1"/>
    <w:rsid w:val="53FF1D52"/>
    <w:rsid w:val="540B0EFB"/>
    <w:rsid w:val="54196906"/>
    <w:rsid w:val="54196AF6"/>
    <w:rsid w:val="541D32DE"/>
    <w:rsid w:val="541E4BE5"/>
    <w:rsid w:val="54492A66"/>
    <w:rsid w:val="544B5B68"/>
    <w:rsid w:val="54541DA7"/>
    <w:rsid w:val="549A1982"/>
    <w:rsid w:val="54AD283C"/>
    <w:rsid w:val="54BD6947"/>
    <w:rsid w:val="54E136A7"/>
    <w:rsid w:val="54E624D0"/>
    <w:rsid w:val="54EB6C18"/>
    <w:rsid w:val="54F51CD4"/>
    <w:rsid w:val="54F628BD"/>
    <w:rsid w:val="553517A4"/>
    <w:rsid w:val="55657B9E"/>
    <w:rsid w:val="558329D8"/>
    <w:rsid w:val="55930CD0"/>
    <w:rsid w:val="55B17F5E"/>
    <w:rsid w:val="55C57513"/>
    <w:rsid w:val="55D8292A"/>
    <w:rsid w:val="55E70CEE"/>
    <w:rsid w:val="55EF42D1"/>
    <w:rsid w:val="55F53414"/>
    <w:rsid w:val="55F8030A"/>
    <w:rsid w:val="560A15DE"/>
    <w:rsid w:val="56162524"/>
    <w:rsid w:val="5621515F"/>
    <w:rsid w:val="562530B0"/>
    <w:rsid w:val="562878CD"/>
    <w:rsid w:val="5630370E"/>
    <w:rsid w:val="56385972"/>
    <w:rsid w:val="563C7055"/>
    <w:rsid w:val="564350D4"/>
    <w:rsid w:val="565603A6"/>
    <w:rsid w:val="5657317E"/>
    <w:rsid w:val="569B0F39"/>
    <w:rsid w:val="56A331AB"/>
    <w:rsid w:val="56AD132E"/>
    <w:rsid w:val="56B14941"/>
    <w:rsid w:val="56C33BD0"/>
    <w:rsid w:val="56E3145A"/>
    <w:rsid w:val="56EF487A"/>
    <w:rsid w:val="56FE632D"/>
    <w:rsid w:val="571810BD"/>
    <w:rsid w:val="571C48E6"/>
    <w:rsid w:val="573164FD"/>
    <w:rsid w:val="57473D4C"/>
    <w:rsid w:val="5768569E"/>
    <w:rsid w:val="578D2033"/>
    <w:rsid w:val="57A0402B"/>
    <w:rsid w:val="57B25190"/>
    <w:rsid w:val="57C4270D"/>
    <w:rsid w:val="57C771F1"/>
    <w:rsid w:val="57CA3C39"/>
    <w:rsid w:val="57CE0463"/>
    <w:rsid w:val="57DA1059"/>
    <w:rsid w:val="57DB40A3"/>
    <w:rsid w:val="57E22102"/>
    <w:rsid w:val="580229C7"/>
    <w:rsid w:val="58057DFD"/>
    <w:rsid w:val="58094346"/>
    <w:rsid w:val="581766B5"/>
    <w:rsid w:val="58185A25"/>
    <w:rsid w:val="582213FA"/>
    <w:rsid w:val="58244F73"/>
    <w:rsid w:val="582471B4"/>
    <w:rsid w:val="583D6FD4"/>
    <w:rsid w:val="584140C0"/>
    <w:rsid w:val="584331F4"/>
    <w:rsid w:val="5847495A"/>
    <w:rsid w:val="584D0EF7"/>
    <w:rsid w:val="58572301"/>
    <w:rsid w:val="585B3F4F"/>
    <w:rsid w:val="586E6311"/>
    <w:rsid w:val="587E7776"/>
    <w:rsid w:val="589013ED"/>
    <w:rsid w:val="58AF10EC"/>
    <w:rsid w:val="58B26EF6"/>
    <w:rsid w:val="58C40850"/>
    <w:rsid w:val="58CC57D8"/>
    <w:rsid w:val="58E53300"/>
    <w:rsid w:val="58EB1FFD"/>
    <w:rsid w:val="591C7677"/>
    <w:rsid w:val="591D1E59"/>
    <w:rsid w:val="591F0707"/>
    <w:rsid w:val="5934343A"/>
    <w:rsid w:val="593E7462"/>
    <w:rsid w:val="59504254"/>
    <w:rsid w:val="5954409D"/>
    <w:rsid w:val="596B65EC"/>
    <w:rsid w:val="596F24BF"/>
    <w:rsid w:val="59751D84"/>
    <w:rsid w:val="5990086E"/>
    <w:rsid w:val="59D14EF8"/>
    <w:rsid w:val="59E45929"/>
    <w:rsid w:val="59EA5123"/>
    <w:rsid w:val="59EC2298"/>
    <w:rsid w:val="59F06FB4"/>
    <w:rsid w:val="59F41D4E"/>
    <w:rsid w:val="5A037CC7"/>
    <w:rsid w:val="5A374C42"/>
    <w:rsid w:val="5A502D70"/>
    <w:rsid w:val="5A602602"/>
    <w:rsid w:val="5A6049D3"/>
    <w:rsid w:val="5A71418E"/>
    <w:rsid w:val="5A760657"/>
    <w:rsid w:val="5A8F2122"/>
    <w:rsid w:val="5AAC387A"/>
    <w:rsid w:val="5ABD4B42"/>
    <w:rsid w:val="5AC3156E"/>
    <w:rsid w:val="5AD238AF"/>
    <w:rsid w:val="5AD43F20"/>
    <w:rsid w:val="5AE028A8"/>
    <w:rsid w:val="5AE37293"/>
    <w:rsid w:val="5AFF18ED"/>
    <w:rsid w:val="5B174C24"/>
    <w:rsid w:val="5B2647D0"/>
    <w:rsid w:val="5B30019C"/>
    <w:rsid w:val="5B54195F"/>
    <w:rsid w:val="5B5D3D93"/>
    <w:rsid w:val="5B6576E7"/>
    <w:rsid w:val="5B7A38BD"/>
    <w:rsid w:val="5B844B9C"/>
    <w:rsid w:val="5B897A83"/>
    <w:rsid w:val="5B9D048E"/>
    <w:rsid w:val="5B9F3497"/>
    <w:rsid w:val="5BA34852"/>
    <w:rsid w:val="5BA44FD3"/>
    <w:rsid w:val="5BAB62C6"/>
    <w:rsid w:val="5BCC3DDE"/>
    <w:rsid w:val="5BCE5A8F"/>
    <w:rsid w:val="5BD27FC5"/>
    <w:rsid w:val="5BE4496A"/>
    <w:rsid w:val="5BFD3991"/>
    <w:rsid w:val="5C1B6497"/>
    <w:rsid w:val="5C2374D8"/>
    <w:rsid w:val="5C3E1B05"/>
    <w:rsid w:val="5C3F30AA"/>
    <w:rsid w:val="5C487DB7"/>
    <w:rsid w:val="5C524076"/>
    <w:rsid w:val="5C752D1F"/>
    <w:rsid w:val="5C777FC3"/>
    <w:rsid w:val="5C790ABB"/>
    <w:rsid w:val="5C7A20F9"/>
    <w:rsid w:val="5CA22893"/>
    <w:rsid w:val="5CAE2F21"/>
    <w:rsid w:val="5CBD3A51"/>
    <w:rsid w:val="5CBF63A3"/>
    <w:rsid w:val="5CCA5F89"/>
    <w:rsid w:val="5CF57B74"/>
    <w:rsid w:val="5D01497E"/>
    <w:rsid w:val="5D141502"/>
    <w:rsid w:val="5D1F6510"/>
    <w:rsid w:val="5D26414E"/>
    <w:rsid w:val="5D3220BF"/>
    <w:rsid w:val="5D326C82"/>
    <w:rsid w:val="5D377999"/>
    <w:rsid w:val="5D630469"/>
    <w:rsid w:val="5D6D51A0"/>
    <w:rsid w:val="5D7A0EFE"/>
    <w:rsid w:val="5D7B52F0"/>
    <w:rsid w:val="5D8A27C8"/>
    <w:rsid w:val="5D8B6530"/>
    <w:rsid w:val="5D8E2CF5"/>
    <w:rsid w:val="5D9765CC"/>
    <w:rsid w:val="5DB83708"/>
    <w:rsid w:val="5DBC1ED7"/>
    <w:rsid w:val="5DBD01BD"/>
    <w:rsid w:val="5DD26D9B"/>
    <w:rsid w:val="5DE65E99"/>
    <w:rsid w:val="5DEA4910"/>
    <w:rsid w:val="5DFC2ACE"/>
    <w:rsid w:val="5E1D5CDD"/>
    <w:rsid w:val="5E343906"/>
    <w:rsid w:val="5E6030D3"/>
    <w:rsid w:val="5E623561"/>
    <w:rsid w:val="5E735BE7"/>
    <w:rsid w:val="5E905C83"/>
    <w:rsid w:val="5E944C40"/>
    <w:rsid w:val="5EC13FED"/>
    <w:rsid w:val="5ECD768B"/>
    <w:rsid w:val="5EE25C25"/>
    <w:rsid w:val="5EEB1AB8"/>
    <w:rsid w:val="5EED092C"/>
    <w:rsid w:val="5F003F9B"/>
    <w:rsid w:val="5F0A4A9D"/>
    <w:rsid w:val="5F1229C6"/>
    <w:rsid w:val="5F1C4A2F"/>
    <w:rsid w:val="5F2D1F96"/>
    <w:rsid w:val="5F467A2D"/>
    <w:rsid w:val="5F467D3B"/>
    <w:rsid w:val="5F4D01DC"/>
    <w:rsid w:val="5F53725D"/>
    <w:rsid w:val="5F621105"/>
    <w:rsid w:val="5F6B610A"/>
    <w:rsid w:val="5F705414"/>
    <w:rsid w:val="5F7A6603"/>
    <w:rsid w:val="5F957A6C"/>
    <w:rsid w:val="5F970C17"/>
    <w:rsid w:val="5FA07D97"/>
    <w:rsid w:val="5FBD518D"/>
    <w:rsid w:val="5FBE4681"/>
    <w:rsid w:val="5FC47346"/>
    <w:rsid w:val="5FC5024A"/>
    <w:rsid w:val="5FD8739D"/>
    <w:rsid w:val="5FDB4EC7"/>
    <w:rsid w:val="5FDD2FE2"/>
    <w:rsid w:val="5FE470B0"/>
    <w:rsid w:val="60622900"/>
    <w:rsid w:val="606F6B7A"/>
    <w:rsid w:val="607411DC"/>
    <w:rsid w:val="609A6BFE"/>
    <w:rsid w:val="60BC6E86"/>
    <w:rsid w:val="60D430E4"/>
    <w:rsid w:val="60E84B7B"/>
    <w:rsid w:val="611265F3"/>
    <w:rsid w:val="611B68BF"/>
    <w:rsid w:val="612403FD"/>
    <w:rsid w:val="61243458"/>
    <w:rsid w:val="613F53D2"/>
    <w:rsid w:val="61442557"/>
    <w:rsid w:val="616F6992"/>
    <w:rsid w:val="617A3030"/>
    <w:rsid w:val="61960D74"/>
    <w:rsid w:val="6197349F"/>
    <w:rsid w:val="61A5223B"/>
    <w:rsid w:val="61B44C27"/>
    <w:rsid w:val="61B5032E"/>
    <w:rsid w:val="61C00E19"/>
    <w:rsid w:val="61D10FF7"/>
    <w:rsid w:val="61F310A8"/>
    <w:rsid w:val="61F916EC"/>
    <w:rsid w:val="620360F8"/>
    <w:rsid w:val="621409F7"/>
    <w:rsid w:val="621B56B7"/>
    <w:rsid w:val="622A2BED"/>
    <w:rsid w:val="62353694"/>
    <w:rsid w:val="628C140E"/>
    <w:rsid w:val="62B23457"/>
    <w:rsid w:val="62CB105F"/>
    <w:rsid w:val="62D238F5"/>
    <w:rsid w:val="62D86FDE"/>
    <w:rsid w:val="62E53013"/>
    <w:rsid w:val="62FC6DD3"/>
    <w:rsid w:val="63040FB0"/>
    <w:rsid w:val="630A4061"/>
    <w:rsid w:val="63281C39"/>
    <w:rsid w:val="632A3D69"/>
    <w:rsid w:val="632E7D87"/>
    <w:rsid w:val="633452B5"/>
    <w:rsid w:val="63596352"/>
    <w:rsid w:val="63680B30"/>
    <w:rsid w:val="63695BDF"/>
    <w:rsid w:val="639C4D85"/>
    <w:rsid w:val="639E23D6"/>
    <w:rsid w:val="639E2904"/>
    <w:rsid w:val="63A14F23"/>
    <w:rsid w:val="63B31B79"/>
    <w:rsid w:val="63D1348A"/>
    <w:rsid w:val="64167BC1"/>
    <w:rsid w:val="641C210C"/>
    <w:rsid w:val="64206434"/>
    <w:rsid w:val="64683E83"/>
    <w:rsid w:val="64862741"/>
    <w:rsid w:val="649B4A42"/>
    <w:rsid w:val="649F08AC"/>
    <w:rsid w:val="64D21795"/>
    <w:rsid w:val="64DB2C1D"/>
    <w:rsid w:val="64FE7CAA"/>
    <w:rsid w:val="653103BC"/>
    <w:rsid w:val="65367902"/>
    <w:rsid w:val="65407F13"/>
    <w:rsid w:val="654C02EC"/>
    <w:rsid w:val="656714F3"/>
    <w:rsid w:val="65681C27"/>
    <w:rsid w:val="657A16C3"/>
    <w:rsid w:val="658310F4"/>
    <w:rsid w:val="658B6E74"/>
    <w:rsid w:val="65910514"/>
    <w:rsid w:val="6591641E"/>
    <w:rsid w:val="65926198"/>
    <w:rsid w:val="65981FEA"/>
    <w:rsid w:val="65982FCD"/>
    <w:rsid w:val="65F30C08"/>
    <w:rsid w:val="65F76A5B"/>
    <w:rsid w:val="662F08FB"/>
    <w:rsid w:val="663D421F"/>
    <w:rsid w:val="66494C14"/>
    <w:rsid w:val="66645278"/>
    <w:rsid w:val="66C34BF0"/>
    <w:rsid w:val="66C86B35"/>
    <w:rsid w:val="66CB4665"/>
    <w:rsid w:val="66F60EFD"/>
    <w:rsid w:val="66F95D74"/>
    <w:rsid w:val="67014231"/>
    <w:rsid w:val="670313DE"/>
    <w:rsid w:val="670F25F2"/>
    <w:rsid w:val="6718709C"/>
    <w:rsid w:val="671E5FB7"/>
    <w:rsid w:val="672C7D64"/>
    <w:rsid w:val="673151B8"/>
    <w:rsid w:val="6734049E"/>
    <w:rsid w:val="67410DE7"/>
    <w:rsid w:val="67486190"/>
    <w:rsid w:val="674E79BC"/>
    <w:rsid w:val="676477C0"/>
    <w:rsid w:val="67791AFE"/>
    <w:rsid w:val="677D7BF9"/>
    <w:rsid w:val="67855110"/>
    <w:rsid w:val="678E5872"/>
    <w:rsid w:val="67A23C8B"/>
    <w:rsid w:val="67AC2E15"/>
    <w:rsid w:val="67AE1A46"/>
    <w:rsid w:val="67B7437E"/>
    <w:rsid w:val="67CA32AF"/>
    <w:rsid w:val="67CF1DEA"/>
    <w:rsid w:val="67CF70EC"/>
    <w:rsid w:val="67DE54ED"/>
    <w:rsid w:val="67ED3689"/>
    <w:rsid w:val="67EF54AD"/>
    <w:rsid w:val="682006C1"/>
    <w:rsid w:val="68292F22"/>
    <w:rsid w:val="682B59A7"/>
    <w:rsid w:val="683109C2"/>
    <w:rsid w:val="683628D6"/>
    <w:rsid w:val="68550CC1"/>
    <w:rsid w:val="6867675F"/>
    <w:rsid w:val="68753976"/>
    <w:rsid w:val="68842FBA"/>
    <w:rsid w:val="688A46D7"/>
    <w:rsid w:val="689B567E"/>
    <w:rsid w:val="68AC3FED"/>
    <w:rsid w:val="68AD7940"/>
    <w:rsid w:val="68C048C4"/>
    <w:rsid w:val="68C063C9"/>
    <w:rsid w:val="68CE058F"/>
    <w:rsid w:val="68D85849"/>
    <w:rsid w:val="68D87E47"/>
    <w:rsid w:val="68EA574A"/>
    <w:rsid w:val="690610F0"/>
    <w:rsid w:val="69073A64"/>
    <w:rsid w:val="692A0033"/>
    <w:rsid w:val="692A2401"/>
    <w:rsid w:val="693A3B5B"/>
    <w:rsid w:val="69543FB8"/>
    <w:rsid w:val="69C045D1"/>
    <w:rsid w:val="69CB7B1E"/>
    <w:rsid w:val="69CC7CA2"/>
    <w:rsid w:val="69CE6D1B"/>
    <w:rsid w:val="69D26E10"/>
    <w:rsid w:val="69E34077"/>
    <w:rsid w:val="69F263DE"/>
    <w:rsid w:val="6A10067C"/>
    <w:rsid w:val="6A155067"/>
    <w:rsid w:val="6A1779FD"/>
    <w:rsid w:val="6A207275"/>
    <w:rsid w:val="6A2D2BBC"/>
    <w:rsid w:val="6A3A6D80"/>
    <w:rsid w:val="6A502994"/>
    <w:rsid w:val="6A537711"/>
    <w:rsid w:val="6A6378AC"/>
    <w:rsid w:val="6A680CC4"/>
    <w:rsid w:val="6A731F8B"/>
    <w:rsid w:val="6A77618D"/>
    <w:rsid w:val="6A7771CD"/>
    <w:rsid w:val="6A893605"/>
    <w:rsid w:val="6A8A43A0"/>
    <w:rsid w:val="6A8E0942"/>
    <w:rsid w:val="6A927BBE"/>
    <w:rsid w:val="6AAA36BE"/>
    <w:rsid w:val="6AC54D75"/>
    <w:rsid w:val="6AD821A1"/>
    <w:rsid w:val="6ADF04DC"/>
    <w:rsid w:val="6AEB54A3"/>
    <w:rsid w:val="6AEC4BF2"/>
    <w:rsid w:val="6B00758E"/>
    <w:rsid w:val="6B1E3B2E"/>
    <w:rsid w:val="6B2A152C"/>
    <w:rsid w:val="6B2C3812"/>
    <w:rsid w:val="6B2D67A1"/>
    <w:rsid w:val="6B4A41DF"/>
    <w:rsid w:val="6B8D64B5"/>
    <w:rsid w:val="6B9A3E51"/>
    <w:rsid w:val="6BA9653C"/>
    <w:rsid w:val="6BBA5D54"/>
    <w:rsid w:val="6BC13FB3"/>
    <w:rsid w:val="6BCA7F2A"/>
    <w:rsid w:val="6BEF61AE"/>
    <w:rsid w:val="6C0A2E33"/>
    <w:rsid w:val="6C115BE0"/>
    <w:rsid w:val="6C1614F3"/>
    <w:rsid w:val="6C2F72A4"/>
    <w:rsid w:val="6C5A3462"/>
    <w:rsid w:val="6C623668"/>
    <w:rsid w:val="6C6C540D"/>
    <w:rsid w:val="6C724637"/>
    <w:rsid w:val="6C876A14"/>
    <w:rsid w:val="6CA12E3D"/>
    <w:rsid w:val="6CA57E8E"/>
    <w:rsid w:val="6CB13ECB"/>
    <w:rsid w:val="6CC52011"/>
    <w:rsid w:val="6CCA46B2"/>
    <w:rsid w:val="6CD52775"/>
    <w:rsid w:val="6CD97C9F"/>
    <w:rsid w:val="6CEC060B"/>
    <w:rsid w:val="6D027D83"/>
    <w:rsid w:val="6D1A6E64"/>
    <w:rsid w:val="6D2741EF"/>
    <w:rsid w:val="6D5C2BF0"/>
    <w:rsid w:val="6D635677"/>
    <w:rsid w:val="6D6E4337"/>
    <w:rsid w:val="6D7E5287"/>
    <w:rsid w:val="6D8E0EF1"/>
    <w:rsid w:val="6DA15AAA"/>
    <w:rsid w:val="6DC12810"/>
    <w:rsid w:val="6DC27EC5"/>
    <w:rsid w:val="6DD67F5F"/>
    <w:rsid w:val="6DE53886"/>
    <w:rsid w:val="6DEB07DE"/>
    <w:rsid w:val="6E0712F9"/>
    <w:rsid w:val="6E152AFC"/>
    <w:rsid w:val="6E1A57F4"/>
    <w:rsid w:val="6E247611"/>
    <w:rsid w:val="6E2E7C77"/>
    <w:rsid w:val="6E3B59A4"/>
    <w:rsid w:val="6E4846FB"/>
    <w:rsid w:val="6E523C53"/>
    <w:rsid w:val="6E5709CF"/>
    <w:rsid w:val="6E5B68A0"/>
    <w:rsid w:val="6E7867C5"/>
    <w:rsid w:val="6E7D48CF"/>
    <w:rsid w:val="6E9A2BD9"/>
    <w:rsid w:val="6E9C5CC5"/>
    <w:rsid w:val="6EA3410F"/>
    <w:rsid w:val="6EB05C1D"/>
    <w:rsid w:val="6ED11F0D"/>
    <w:rsid w:val="6EE224B9"/>
    <w:rsid w:val="6EE85E14"/>
    <w:rsid w:val="6F0D7824"/>
    <w:rsid w:val="6F264C66"/>
    <w:rsid w:val="6F5B27FF"/>
    <w:rsid w:val="6F8C0D99"/>
    <w:rsid w:val="6F8E21EE"/>
    <w:rsid w:val="6FA816CB"/>
    <w:rsid w:val="6FAA05DC"/>
    <w:rsid w:val="6FBB743C"/>
    <w:rsid w:val="6FC670D2"/>
    <w:rsid w:val="6FC745AF"/>
    <w:rsid w:val="6FC9541F"/>
    <w:rsid w:val="6FCA795F"/>
    <w:rsid w:val="7001073E"/>
    <w:rsid w:val="700E1760"/>
    <w:rsid w:val="70123087"/>
    <w:rsid w:val="70134B03"/>
    <w:rsid w:val="701C2649"/>
    <w:rsid w:val="702014EA"/>
    <w:rsid w:val="704F1171"/>
    <w:rsid w:val="707E3802"/>
    <w:rsid w:val="70805565"/>
    <w:rsid w:val="708947D5"/>
    <w:rsid w:val="708A048C"/>
    <w:rsid w:val="70B736EE"/>
    <w:rsid w:val="70B87CD4"/>
    <w:rsid w:val="70D80E7E"/>
    <w:rsid w:val="70E103C9"/>
    <w:rsid w:val="70E408B9"/>
    <w:rsid w:val="70E470A4"/>
    <w:rsid w:val="70E91E7A"/>
    <w:rsid w:val="70FA0E5C"/>
    <w:rsid w:val="710E767B"/>
    <w:rsid w:val="71120D82"/>
    <w:rsid w:val="712075D4"/>
    <w:rsid w:val="7127508A"/>
    <w:rsid w:val="712812A1"/>
    <w:rsid w:val="713F466A"/>
    <w:rsid w:val="715A20F9"/>
    <w:rsid w:val="71766123"/>
    <w:rsid w:val="7186353A"/>
    <w:rsid w:val="7193105E"/>
    <w:rsid w:val="71A231C6"/>
    <w:rsid w:val="71D42C2B"/>
    <w:rsid w:val="71D66F62"/>
    <w:rsid w:val="71EB5AD8"/>
    <w:rsid w:val="72085819"/>
    <w:rsid w:val="72293BB5"/>
    <w:rsid w:val="7243359F"/>
    <w:rsid w:val="724C2D3D"/>
    <w:rsid w:val="725E281A"/>
    <w:rsid w:val="729D3F8E"/>
    <w:rsid w:val="72B81D2E"/>
    <w:rsid w:val="72BA0DC8"/>
    <w:rsid w:val="72BB2586"/>
    <w:rsid w:val="72CF558C"/>
    <w:rsid w:val="72E47E85"/>
    <w:rsid w:val="72FC6C1D"/>
    <w:rsid w:val="73114C69"/>
    <w:rsid w:val="73276649"/>
    <w:rsid w:val="732C4AF1"/>
    <w:rsid w:val="733536DB"/>
    <w:rsid w:val="7374347A"/>
    <w:rsid w:val="73785ACE"/>
    <w:rsid w:val="739D09CB"/>
    <w:rsid w:val="73B73A40"/>
    <w:rsid w:val="73CD3433"/>
    <w:rsid w:val="73D011D9"/>
    <w:rsid w:val="73D34E84"/>
    <w:rsid w:val="73E25489"/>
    <w:rsid w:val="741760CC"/>
    <w:rsid w:val="741D011D"/>
    <w:rsid w:val="741F7C6E"/>
    <w:rsid w:val="742261C6"/>
    <w:rsid w:val="74416844"/>
    <w:rsid w:val="744645F8"/>
    <w:rsid w:val="74726169"/>
    <w:rsid w:val="747628B9"/>
    <w:rsid w:val="748765B7"/>
    <w:rsid w:val="74916CDC"/>
    <w:rsid w:val="74AC3875"/>
    <w:rsid w:val="74B93C58"/>
    <w:rsid w:val="74CA1CA5"/>
    <w:rsid w:val="74CC72CA"/>
    <w:rsid w:val="74D826BD"/>
    <w:rsid w:val="74DE1AC6"/>
    <w:rsid w:val="74EA0C47"/>
    <w:rsid w:val="750637FC"/>
    <w:rsid w:val="750C412E"/>
    <w:rsid w:val="751B1242"/>
    <w:rsid w:val="75556027"/>
    <w:rsid w:val="755E201E"/>
    <w:rsid w:val="75612E59"/>
    <w:rsid w:val="75685353"/>
    <w:rsid w:val="758C0199"/>
    <w:rsid w:val="7591259A"/>
    <w:rsid w:val="75B8731B"/>
    <w:rsid w:val="75B91284"/>
    <w:rsid w:val="75C76D0F"/>
    <w:rsid w:val="75CE3A9D"/>
    <w:rsid w:val="75D00B2F"/>
    <w:rsid w:val="75E613A6"/>
    <w:rsid w:val="75F2793E"/>
    <w:rsid w:val="760720AC"/>
    <w:rsid w:val="765C55C2"/>
    <w:rsid w:val="7676598C"/>
    <w:rsid w:val="76787E21"/>
    <w:rsid w:val="768149AB"/>
    <w:rsid w:val="768C5F1B"/>
    <w:rsid w:val="768F756F"/>
    <w:rsid w:val="76A805A2"/>
    <w:rsid w:val="76A96562"/>
    <w:rsid w:val="76B17A29"/>
    <w:rsid w:val="76B706A3"/>
    <w:rsid w:val="76BD2FFD"/>
    <w:rsid w:val="76C105CD"/>
    <w:rsid w:val="76E26A05"/>
    <w:rsid w:val="7706525B"/>
    <w:rsid w:val="771F292F"/>
    <w:rsid w:val="772B07F7"/>
    <w:rsid w:val="774A736D"/>
    <w:rsid w:val="77623947"/>
    <w:rsid w:val="77627350"/>
    <w:rsid w:val="7765645F"/>
    <w:rsid w:val="776A6AE2"/>
    <w:rsid w:val="7780293B"/>
    <w:rsid w:val="7782777B"/>
    <w:rsid w:val="778A5A32"/>
    <w:rsid w:val="77A106AA"/>
    <w:rsid w:val="77A72C83"/>
    <w:rsid w:val="77AB18D1"/>
    <w:rsid w:val="77AD41FF"/>
    <w:rsid w:val="77CF1E3C"/>
    <w:rsid w:val="77D75A12"/>
    <w:rsid w:val="78005089"/>
    <w:rsid w:val="78007B1B"/>
    <w:rsid w:val="78035878"/>
    <w:rsid w:val="780618D9"/>
    <w:rsid w:val="781D4C9F"/>
    <w:rsid w:val="784651B8"/>
    <w:rsid w:val="78491300"/>
    <w:rsid w:val="785F41FB"/>
    <w:rsid w:val="78701C9C"/>
    <w:rsid w:val="787B6573"/>
    <w:rsid w:val="78924406"/>
    <w:rsid w:val="789D1B38"/>
    <w:rsid w:val="789E3425"/>
    <w:rsid w:val="78AA31CE"/>
    <w:rsid w:val="78AB5DFA"/>
    <w:rsid w:val="78AC1152"/>
    <w:rsid w:val="78B71476"/>
    <w:rsid w:val="78ED2E09"/>
    <w:rsid w:val="78FC7E09"/>
    <w:rsid w:val="79057CA5"/>
    <w:rsid w:val="79086F47"/>
    <w:rsid w:val="790D67E0"/>
    <w:rsid w:val="790F57C7"/>
    <w:rsid w:val="79284BDE"/>
    <w:rsid w:val="792B655F"/>
    <w:rsid w:val="792F1B57"/>
    <w:rsid w:val="794336C2"/>
    <w:rsid w:val="794F356B"/>
    <w:rsid w:val="796A56A5"/>
    <w:rsid w:val="79805DE9"/>
    <w:rsid w:val="79834DBC"/>
    <w:rsid w:val="79955265"/>
    <w:rsid w:val="79AC3D39"/>
    <w:rsid w:val="79AF15C0"/>
    <w:rsid w:val="79C269CA"/>
    <w:rsid w:val="79E248F3"/>
    <w:rsid w:val="79E93BE7"/>
    <w:rsid w:val="79F22EE6"/>
    <w:rsid w:val="79F463FC"/>
    <w:rsid w:val="79F57096"/>
    <w:rsid w:val="7A006590"/>
    <w:rsid w:val="7A0A7589"/>
    <w:rsid w:val="7A1C6562"/>
    <w:rsid w:val="7A232674"/>
    <w:rsid w:val="7A2408EF"/>
    <w:rsid w:val="7A37276E"/>
    <w:rsid w:val="7A456471"/>
    <w:rsid w:val="7A771896"/>
    <w:rsid w:val="7A882E25"/>
    <w:rsid w:val="7A914F76"/>
    <w:rsid w:val="7A932ADA"/>
    <w:rsid w:val="7AA51B2A"/>
    <w:rsid w:val="7AAB1467"/>
    <w:rsid w:val="7AE16FA5"/>
    <w:rsid w:val="7AE73D42"/>
    <w:rsid w:val="7B08515E"/>
    <w:rsid w:val="7B086831"/>
    <w:rsid w:val="7B0C7A45"/>
    <w:rsid w:val="7B0C7BEB"/>
    <w:rsid w:val="7B1A3C79"/>
    <w:rsid w:val="7B1D5A1C"/>
    <w:rsid w:val="7B2547B9"/>
    <w:rsid w:val="7B2C2E83"/>
    <w:rsid w:val="7B2E172C"/>
    <w:rsid w:val="7B353108"/>
    <w:rsid w:val="7B3D1C30"/>
    <w:rsid w:val="7B517723"/>
    <w:rsid w:val="7B610E88"/>
    <w:rsid w:val="7B6B1050"/>
    <w:rsid w:val="7B6C39DD"/>
    <w:rsid w:val="7B8725F9"/>
    <w:rsid w:val="7BEA09AB"/>
    <w:rsid w:val="7C0346C5"/>
    <w:rsid w:val="7C1124B7"/>
    <w:rsid w:val="7C1254D6"/>
    <w:rsid w:val="7C137E40"/>
    <w:rsid w:val="7C1F1560"/>
    <w:rsid w:val="7C1F160A"/>
    <w:rsid w:val="7C20245C"/>
    <w:rsid w:val="7C383C51"/>
    <w:rsid w:val="7C3A11E5"/>
    <w:rsid w:val="7C525909"/>
    <w:rsid w:val="7C6D05B2"/>
    <w:rsid w:val="7C6D36AE"/>
    <w:rsid w:val="7C6E26A8"/>
    <w:rsid w:val="7C7A01A3"/>
    <w:rsid w:val="7C98387D"/>
    <w:rsid w:val="7C996E2D"/>
    <w:rsid w:val="7C9D5974"/>
    <w:rsid w:val="7CCA416D"/>
    <w:rsid w:val="7CEF5662"/>
    <w:rsid w:val="7CF246A7"/>
    <w:rsid w:val="7D11282E"/>
    <w:rsid w:val="7D1643B3"/>
    <w:rsid w:val="7D336A94"/>
    <w:rsid w:val="7D447CA4"/>
    <w:rsid w:val="7D83168B"/>
    <w:rsid w:val="7D8E20F0"/>
    <w:rsid w:val="7D996BBB"/>
    <w:rsid w:val="7DB47C63"/>
    <w:rsid w:val="7DB73A20"/>
    <w:rsid w:val="7DBB71BB"/>
    <w:rsid w:val="7DD562E3"/>
    <w:rsid w:val="7DEC5B2F"/>
    <w:rsid w:val="7DF33B0D"/>
    <w:rsid w:val="7E07584B"/>
    <w:rsid w:val="7E0B4D22"/>
    <w:rsid w:val="7E0C4F7C"/>
    <w:rsid w:val="7E16622B"/>
    <w:rsid w:val="7E1B0368"/>
    <w:rsid w:val="7E1D4761"/>
    <w:rsid w:val="7E1E5758"/>
    <w:rsid w:val="7E2D1FF2"/>
    <w:rsid w:val="7E2D7BEE"/>
    <w:rsid w:val="7E3327AA"/>
    <w:rsid w:val="7E3B2DA1"/>
    <w:rsid w:val="7E663EDC"/>
    <w:rsid w:val="7E672D9D"/>
    <w:rsid w:val="7E6F2F74"/>
    <w:rsid w:val="7E76507D"/>
    <w:rsid w:val="7E77033C"/>
    <w:rsid w:val="7E7A7376"/>
    <w:rsid w:val="7EB63CD7"/>
    <w:rsid w:val="7EB7279E"/>
    <w:rsid w:val="7EC55AEA"/>
    <w:rsid w:val="7ED552F1"/>
    <w:rsid w:val="7ED97E28"/>
    <w:rsid w:val="7F007C0B"/>
    <w:rsid w:val="7F046D38"/>
    <w:rsid w:val="7F076CFC"/>
    <w:rsid w:val="7F1A5F1D"/>
    <w:rsid w:val="7F1C5034"/>
    <w:rsid w:val="7F2C56C7"/>
    <w:rsid w:val="7F3956D2"/>
    <w:rsid w:val="7F3D225C"/>
    <w:rsid w:val="7F3F52A6"/>
    <w:rsid w:val="7F4E6E82"/>
    <w:rsid w:val="7F542359"/>
    <w:rsid w:val="7F545CFB"/>
    <w:rsid w:val="7F5A2790"/>
    <w:rsid w:val="7F8C1E6A"/>
    <w:rsid w:val="7FA169D4"/>
    <w:rsid w:val="7FA47D6C"/>
    <w:rsid w:val="7FA75D18"/>
    <w:rsid w:val="7FA973E1"/>
    <w:rsid w:val="7FAC71E6"/>
    <w:rsid w:val="7FC833BA"/>
    <w:rsid w:val="7FCE4B5A"/>
    <w:rsid w:val="7FFB7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line="576" w:lineRule="auto"/>
      <w:outlineLvl w:val="0"/>
    </w:pPr>
    <w:rPr>
      <w:b/>
      <w:kern w:val="44"/>
      <w:sz w:val="44"/>
    </w:rPr>
  </w:style>
  <w:style w:type="paragraph" w:styleId="6">
    <w:name w:val="heading 2"/>
    <w:basedOn w:val="1"/>
    <w:next w:val="1"/>
    <w:qFormat/>
    <w:uiPriority w:val="0"/>
    <w:pPr>
      <w:keepNext/>
      <w:keepLines/>
      <w:adjustRightInd w:val="0"/>
      <w:spacing w:beforeLines="150" w:line="360" w:lineRule="auto"/>
      <w:textAlignment w:val="baseline"/>
      <w:outlineLvl w:val="1"/>
    </w:pPr>
    <w:rPr>
      <w:rFonts w:hAnsi="宋体"/>
      <w:b/>
      <w:sz w:val="28"/>
    </w:rPr>
  </w:style>
  <w:style w:type="paragraph" w:styleId="7">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8">
    <w:name w:val="heading 6"/>
    <w:basedOn w:val="1"/>
    <w:next w:val="1"/>
    <w:qFormat/>
    <w:uiPriority w:val="99"/>
    <w:pPr>
      <w:ind w:left="691"/>
      <w:outlineLvl w:val="5"/>
    </w:pPr>
    <w:rPr>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0"/>
    </w:pPr>
    <w:rPr>
      <w:sz w:val="24"/>
    </w:rPr>
  </w:style>
  <w:style w:type="paragraph" w:styleId="3">
    <w:name w:val="Body Text Indent"/>
    <w:basedOn w:val="1"/>
    <w:next w:val="4"/>
    <w:qFormat/>
    <w:uiPriority w:val="0"/>
    <w:pPr>
      <w:spacing w:line="200" w:lineRule="exact"/>
      <w:ind w:firstLine="301"/>
    </w:pPr>
    <w:rPr>
      <w:rFonts w:ascii="宋体" w:hAnsi="Courier New"/>
      <w:spacing w:val="-4"/>
      <w:sz w:val="18"/>
      <w:szCs w:val="20"/>
    </w:rPr>
  </w:style>
  <w:style w:type="paragraph" w:styleId="4">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9">
    <w:name w:val="annotation text"/>
    <w:basedOn w:val="1"/>
    <w:qFormat/>
    <w:uiPriority w:val="99"/>
    <w:pPr>
      <w:jc w:val="left"/>
    </w:pPr>
    <w:rPr>
      <w:rFonts w:eastAsia="Times New Roman"/>
      <w:kern w:val="1"/>
      <w:lang w:val="zh-CN"/>
    </w:rPr>
  </w:style>
  <w:style w:type="paragraph" w:styleId="10">
    <w:name w:val="Body Text"/>
    <w:basedOn w:val="1"/>
    <w:unhideWhenUsed/>
    <w:qFormat/>
    <w:uiPriority w:val="0"/>
    <w:pPr>
      <w:spacing w:after="120"/>
    </w:pPr>
    <w:rPr>
      <w:rFonts w:ascii="Times New Roman" w:hAnsi="Times New Roman"/>
    </w:rPr>
  </w:style>
  <w:style w:type="paragraph" w:styleId="11">
    <w:name w:val="Plain Text"/>
    <w:basedOn w:val="1"/>
    <w:next w:val="7"/>
    <w:qFormat/>
    <w:uiPriority w:val="0"/>
    <w:rPr>
      <w:rFonts w:ascii="宋体" w:hAnsi="Courier New"/>
      <w:szCs w:val="20"/>
    </w:rPr>
  </w:style>
  <w:style w:type="paragraph" w:styleId="12">
    <w:name w:val="footer"/>
    <w:basedOn w:val="1"/>
    <w:unhideWhenUsed/>
    <w:qFormat/>
    <w:uiPriority w:val="0"/>
    <w:pPr>
      <w:tabs>
        <w:tab w:val="center" w:pos="4153"/>
        <w:tab w:val="right" w:pos="8306"/>
      </w:tabs>
      <w:snapToGrid w:val="0"/>
      <w:jc w:val="left"/>
    </w:pPr>
    <w:rPr>
      <w:sz w:val="18"/>
      <w:szCs w:val="18"/>
    </w:rPr>
  </w:style>
  <w:style w:type="paragraph" w:styleId="13">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spacing w:beforeAutospacing="1" w:afterAutospacing="1"/>
      <w:jc w:val="left"/>
    </w:pPr>
    <w:rPr>
      <w:rFonts w:cs="Times New Roman"/>
      <w:kern w:val="0"/>
      <w:sz w:val="24"/>
    </w:rPr>
  </w:style>
  <w:style w:type="paragraph" w:styleId="15">
    <w:name w:val="Body Text First Indent"/>
    <w:basedOn w:val="16"/>
    <w:qFormat/>
    <w:uiPriority w:val="0"/>
    <w:pPr>
      <w:spacing w:after="120"/>
      <w:ind w:firstLine="420" w:firstLineChars="100"/>
    </w:pPr>
  </w:style>
  <w:style w:type="paragraph" w:customStyle="1" w:styleId="16">
    <w:name w:val="正文文本1"/>
    <w:basedOn w:val="17"/>
    <w:next w:val="15"/>
    <w:unhideWhenUsed/>
    <w:qFormat/>
    <w:uiPriority w:val="0"/>
    <w:pPr>
      <w:spacing w:after="120"/>
    </w:pPr>
  </w:style>
  <w:style w:type="paragraph" w:customStyle="1" w:styleId="17">
    <w:name w:val="Normal_2"/>
    <w:qFormat/>
    <w:uiPriority w:val="0"/>
    <w:pPr>
      <w:widowControl w:val="0"/>
      <w:jc w:val="both"/>
    </w:pPr>
    <w:rPr>
      <w:rFonts w:ascii="Calibri" w:hAnsi="Calibri" w:eastAsia="宋体" w:cs="Times New Roman"/>
      <w:lang w:val="en-US" w:eastAsia="zh-CN" w:bidi="ar-SA"/>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annotation reference"/>
    <w:qFormat/>
    <w:uiPriority w:val="99"/>
    <w:rPr>
      <w:rFonts w:ascii="Times New Roman" w:hAnsi="Times New Roman" w:eastAsia="Times New Roman" w:cs="Times New Roman"/>
      <w:sz w:val="21"/>
      <w:szCs w:val="21"/>
    </w:rPr>
  </w:style>
  <w:style w:type="paragraph" w:styleId="23">
    <w:name w:val="List Paragraph"/>
    <w:basedOn w:val="1"/>
    <w:qFormat/>
    <w:uiPriority w:val="34"/>
    <w:pPr>
      <w:ind w:firstLine="420" w:firstLineChars="200"/>
    </w:pPr>
  </w:style>
  <w:style w:type="paragraph" w:customStyle="1" w:styleId="2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5">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6">
    <w:name w:val="页眉 字符"/>
    <w:basedOn w:val="20"/>
    <w:link w:val="13"/>
    <w:qFormat/>
    <w:uiPriority w:val="0"/>
    <w:rPr>
      <w:rFonts w:asciiTheme="minorHAnsi" w:hAnsiTheme="minorHAnsi" w:eastAsiaTheme="minorEastAsia" w:cstheme="minorBidi"/>
      <w:kern w:val="2"/>
      <w:sz w:val="18"/>
      <w:szCs w:val="18"/>
    </w:rPr>
  </w:style>
  <w:style w:type="character" w:customStyle="1" w:styleId="27">
    <w:name w:val="font171"/>
    <w:basedOn w:val="20"/>
    <w:qFormat/>
    <w:uiPriority w:val="0"/>
    <w:rPr>
      <w:rFonts w:ascii="Arial" w:hAnsi="Arial" w:cs="Arial"/>
      <w:color w:val="000000"/>
      <w:sz w:val="16"/>
      <w:szCs w:val="16"/>
      <w:u w:val="none"/>
    </w:rPr>
  </w:style>
  <w:style w:type="character" w:customStyle="1" w:styleId="28">
    <w:name w:val="font191"/>
    <w:basedOn w:val="20"/>
    <w:qFormat/>
    <w:uiPriority w:val="0"/>
    <w:rPr>
      <w:rFonts w:hint="eastAsia" w:ascii="微软雅黑" w:hAnsi="微软雅黑" w:eastAsia="微软雅黑" w:cs="微软雅黑"/>
      <w:color w:val="000000"/>
      <w:sz w:val="16"/>
      <w:szCs w:val="16"/>
      <w:u w:val="none"/>
    </w:rPr>
  </w:style>
  <w:style w:type="paragraph" w:customStyle="1" w:styleId="29">
    <w:name w:val="Normal_1"/>
    <w:qFormat/>
    <w:uiPriority w:val="0"/>
    <w:pPr>
      <w:widowControl w:val="0"/>
      <w:jc w:val="both"/>
    </w:pPr>
    <w:rPr>
      <w:rFonts w:ascii="Calibri" w:hAnsi="Calibri" w:eastAsia="宋体" w:cs="Times New Roman"/>
      <w:lang w:val="en-US" w:eastAsia="zh-CN" w:bidi="ar-SA"/>
    </w:rPr>
  </w:style>
  <w:style w:type="paragraph" w:customStyle="1" w:styleId="30">
    <w:name w:val="Body Text_0"/>
    <w:basedOn w:val="29"/>
    <w:next w:val="15"/>
    <w:unhideWhenUsed/>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704</Words>
  <Characters>4015</Characters>
  <Lines>33</Lines>
  <Paragraphs>9</Paragraphs>
  <TotalTime>3</TotalTime>
  <ScaleCrop>false</ScaleCrop>
  <LinksUpToDate>false</LinksUpToDate>
  <CharactersWithSpaces>4710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2020-04-28T07:11:00Z</dcterms:created>
  <dc:creator>ASUS</dc:creator>
  <cp:lastModifiedBy>↓灬↓</cp:lastModifiedBy>
  <cp:lastPrinted>2020-05-25T06:39:00Z</cp:lastPrinted>
  <dcterms:modified xsi:type="dcterms:W3CDTF">2021-09-07T03:22:37Z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EC86E9592929431C92C50EDF01B3E0DD</vt:lpwstr>
  </property>
</Properties>
</file>