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附件1</w:t>
      </w:r>
    </w:p>
    <w:p>
      <w:pPr>
        <w:pStyle w:val="4"/>
        <w:jc w:val="center"/>
        <w:rPr>
          <w:b/>
          <w:sz w:val="32"/>
          <w:highlight w:val="none"/>
        </w:rPr>
      </w:pPr>
      <w:bookmarkStart w:id="0" w:name="_GoBack"/>
      <w:r>
        <w:rPr>
          <w:rFonts w:hint="eastAsia"/>
          <w:b/>
          <w:sz w:val="32"/>
          <w:highlight w:val="none"/>
        </w:rPr>
        <w:t>采购需求一览表</w:t>
      </w:r>
      <w:bookmarkEnd w:id="0"/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南宁中心血站除“四害”服务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 xml:space="preserve">1.服务内容：为了保障我站环境卫生，采供血工作顺利开展，做好我站的灭鼠、灭蚊、灭蝇、灭蟑螂除“四害”工作。 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2. 服务期限：一年（2022年1月1日—2022年12月31日）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3.服务范围：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南宁中心血站，包括业务大楼、业务副楼、板房、宿舍区、停车场、绿化带、朝阳捐血屋（全血、机采）、医科大学捐血屋、琅东捐血屋、航洋捐血屋、江南捐血屋、火炬捐血屋、南棉捐血屋等市内各固定捐血屋，占地面积约15000平方米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4.服务价格：包干价。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5.1除“四害”公司资质符合要求。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5.2除“四害”药物符合国家标准。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5.3除“四害”防制标准及防制预期效果：符合国家标准。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5.4每2个月进行一次除“四害”，如果“四害”密度升高，供应商需根据采购人需求在接到通知后24小时内到达现场处理。</w:t>
            </w:r>
          </w:p>
          <w:p>
            <w:pPr>
              <w:pStyle w:val="3"/>
              <w:jc w:val="left"/>
              <w:rPr>
                <w:highlight w:val="none"/>
              </w:rPr>
            </w:pPr>
            <w:r>
              <w:rPr>
                <w:highlight w:val="none"/>
              </w:rPr>
              <w:t>5.5供应商每次除“四害”活动需提供除“四害”记录、照片。记录有除“四害”地点工作人员签名。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一、合同签订期:自成交结果公布之日起7个工作日内。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二、服务期限:2022年1月1日—2022年12月31日。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三、付款方式：成交供应商按照采购服务需求履行除“四害”服务的，</w:t>
            </w:r>
            <w:r>
              <w:rPr>
                <w:rFonts w:hint="eastAsia"/>
                <w:highlight w:val="none"/>
                <w:lang w:eastAsia="zh-CN"/>
              </w:rPr>
              <w:t>经采购人验收合格的</w:t>
            </w:r>
            <w:r>
              <w:rPr>
                <w:rFonts w:hint="eastAsia"/>
                <w:highlight w:val="none"/>
              </w:rPr>
              <w:t>采购人每半年支付相应合同款，即6月30日，12月30日前支付服务费用。每次付款前成交供应商应开具对应金额发票并送达采购人处。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三、服务地点：南宁市采购人指定地点。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四、其他要求：</w:t>
            </w:r>
          </w:p>
          <w:p>
            <w:pPr>
              <w:spacing w:line="420" w:lineRule="exact"/>
              <w:rPr>
                <w:b/>
                <w:bCs/>
                <w:highlight w:val="none"/>
              </w:rPr>
            </w:pPr>
            <w:r>
              <w:rPr>
                <w:rFonts w:hint="eastAsia"/>
                <w:highlight w:val="none"/>
              </w:rPr>
              <w:t>1、报价必须含以下部分，包括：除四害疫点应急消杀所使用到的所有工具机械费、人员工资、 福利、保险、加班费、突发性作业费、劳保费、福利费、保险费、风险金和税费、利润、不可预见费等 在项目实施过程中的全部费用，投标人报价中漏报、少报的费用，视为此项费用已隐含在报价中，中标人不得再向采购人收取任何费用）。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2、供应商应具备履行合同所必须的设备和专业技术能力。</w:t>
            </w:r>
          </w:p>
          <w:p>
            <w:pPr>
              <w:spacing w:line="4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3、服务过程中，如发现服务成果与需求不符的，经采购人三次提醒后成交供应商未能改正的，采购人有权解除采购合同，对采购人造成损失的成交供应商赔偿全部损失。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6585B"/>
    <w:rsid w:val="59B6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customStyle="1" w:styleId="7">
    <w:name w:val="表格文字"/>
    <w:basedOn w:val="1"/>
    <w:qFormat/>
    <w:uiPriority w:val="0"/>
    <w:pPr>
      <w:jc w:val="left"/>
    </w:pPr>
    <w:rPr>
      <w:kern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2021-12-09T09:12:00Z</dcterms:created>
  <dc:creator>WPS</dc:creator>
  <cp:lastModifiedBy>WPS</cp:lastModifiedBy>
  <dcterms:modified xsi:type="dcterms:W3CDTF">2021-12-09T09:12:47Z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EC69FDBE126A494ABA69A16EA9903686</vt:lpwstr>
  </property>
</Properties>
</file>