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  <w:t>南宁中心血站采购项目参数征集表</w:t>
      </w:r>
    </w:p>
    <w:tbl>
      <w:tblPr>
        <w:tblStyle w:val="2"/>
        <w:tblW w:w="109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756"/>
        <w:gridCol w:w="724"/>
        <w:gridCol w:w="806"/>
        <w:gridCol w:w="863"/>
        <w:gridCol w:w="61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参考单价(元)</w:t>
            </w: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技术参数及性能配置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大型采血车</w:t>
            </w:r>
            <w:r>
              <w:rPr>
                <w:rFonts w:hint="eastAsia" w:ascii="仿宋" w:hAnsi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(品牌型号)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211" w:firstLineChars="100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辆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中型采血车</w:t>
            </w:r>
            <w:r>
              <w:rPr>
                <w:rFonts w:hint="eastAsia" w:ascii="仿宋" w:hAnsi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（品牌型号）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辆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……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9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9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备注：参考单价不能超过本采购项目预算。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76B4A"/>
    <w:rsid w:val="2197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2022-01-24T07:37:00Z</dcterms:created>
  <dc:creator>WPS</dc:creator>
  <cp:lastModifiedBy>WPS</cp:lastModifiedBy>
  <dcterms:modified xsi:type="dcterms:W3CDTF">2022-01-24T07:38:04Z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18934944EC4B4A64BC1160B9161C920F</vt:lpwstr>
  </property>
</Properties>
</file>