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sz w:val="30"/>
          <w:szCs w:val="30"/>
          <w:lang w:val="en-US" w:eastAsia="zh-CN"/>
        </w:rPr>
      </w:pPr>
      <w:r>
        <w:rPr>
          <w:rFonts w:hint="eastAsia" w:ascii="仿宋" w:hAnsi="仿宋" w:eastAsia="仿宋" w:cs="Times New Roman"/>
          <w:b/>
          <w:bCs/>
          <w:sz w:val="30"/>
          <w:szCs w:val="30"/>
          <w:lang w:val="en-US" w:eastAsia="zh-CN"/>
        </w:rPr>
        <w:t>附件1</w:t>
      </w:r>
    </w:p>
    <w:p>
      <w:pPr>
        <w:keepNext w:val="0"/>
        <w:keepLines w:val="0"/>
        <w:pageBreakBefore w:val="0"/>
        <w:widowControl w:val="0"/>
        <w:kinsoku/>
        <w:wordWrap/>
        <w:overflowPunct/>
        <w:topLinePunct w:val="0"/>
        <w:autoSpaceDE/>
        <w:autoSpaceDN/>
        <w:bidi w:val="0"/>
        <w:adjustRightInd/>
        <w:snapToGrid/>
        <w:spacing w:line="520" w:lineRule="exact"/>
        <w:ind w:firstLine="602" w:firstLineChars="200"/>
        <w:jc w:val="center"/>
        <w:textAlignment w:val="auto"/>
        <w:rPr>
          <w:rFonts w:hint="eastAsia" w:ascii="仿宋" w:hAnsi="仿宋" w:eastAsia="仿宋" w:cs="Times New Roman"/>
          <w:b/>
          <w:bCs/>
          <w:sz w:val="30"/>
          <w:szCs w:val="30"/>
          <w:lang w:val="en-US" w:eastAsia="zh-CN"/>
        </w:rPr>
      </w:pPr>
      <w:r>
        <w:rPr>
          <w:rFonts w:hint="eastAsia" w:ascii="仿宋" w:hAnsi="仿宋" w:eastAsia="仿宋" w:cs="Times New Roman"/>
          <w:b/>
          <w:bCs/>
          <w:sz w:val="30"/>
          <w:szCs w:val="30"/>
          <w:lang w:val="en-US" w:eastAsia="zh-CN"/>
        </w:rPr>
        <w:t>南宁中心血站采购项目基本情况及需求</w:t>
      </w:r>
    </w:p>
    <w:tbl>
      <w:tblPr>
        <w:tblStyle w:val="4"/>
        <w:tblpPr w:leftFromText="180" w:rightFromText="180" w:vertAnchor="text" w:horzAnchor="page" w:tblpX="674" w:tblpY="173"/>
        <w:tblOverlap w:val="never"/>
        <w:tblW w:w="10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8"/>
        <w:gridCol w:w="850"/>
        <w:gridCol w:w="575"/>
        <w:gridCol w:w="1134"/>
        <w:gridCol w:w="1095"/>
        <w:gridCol w:w="64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738"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序号</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项目名称</w:t>
            </w:r>
          </w:p>
        </w:tc>
        <w:tc>
          <w:tcPr>
            <w:tcW w:w="575"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单位</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计划采购数量</w:t>
            </w:r>
          </w:p>
        </w:tc>
        <w:tc>
          <w:tcPr>
            <w:tcW w:w="1095"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采购预算</w:t>
            </w:r>
          </w:p>
        </w:tc>
        <w:tc>
          <w:tcPr>
            <w:tcW w:w="6483"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r>
              <w:rPr>
                <w:rFonts w:hint="eastAsia" w:ascii="仿宋" w:hAnsi="仿宋" w:eastAsia="仿宋" w:cs="Times New Roman"/>
                <w:b/>
                <w:bCs/>
                <w:sz w:val="28"/>
                <w:szCs w:val="28"/>
                <w:vertAlign w:val="baseline"/>
                <w:lang w:val="en-US" w:eastAsia="zh-CN"/>
              </w:rPr>
              <w:t>基本情况及需求</w:t>
            </w:r>
          </w:p>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8"/>
                <w:szCs w:val="2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738"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1</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大型采血车</w:t>
            </w:r>
          </w:p>
        </w:tc>
        <w:tc>
          <w:tcPr>
            <w:tcW w:w="575"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辆</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1</w:t>
            </w:r>
          </w:p>
        </w:tc>
        <w:tc>
          <w:tcPr>
            <w:tcW w:w="1095"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120.00万元</w:t>
            </w:r>
          </w:p>
        </w:tc>
        <w:tc>
          <w:tcPr>
            <w:tcW w:w="6483"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eastAsia" w:ascii="仿宋" w:hAnsi="仿宋" w:eastAsia="仿宋" w:cs="Times New Roman"/>
                <w:b/>
                <w:bCs/>
                <w:color w:val="auto"/>
                <w:sz w:val="21"/>
                <w:szCs w:val="21"/>
                <w:vertAlign w:val="baseline"/>
                <w:lang w:val="en-US" w:eastAsia="zh-CN"/>
              </w:rPr>
              <w:t>1</w:t>
            </w:r>
            <w:r>
              <w:rPr>
                <w:rFonts w:hint="default" w:ascii="仿宋" w:hAnsi="仿宋" w:eastAsia="仿宋" w:cs="Times New Roman"/>
                <w:b/>
                <w:bCs/>
                <w:color w:val="auto"/>
                <w:sz w:val="21"/>
                <w:szCs w:val="21"/>
                <w:vertAlign w:val="baseline"/>
                <w:lang w:val="en-US" w:eastAsia="zh-CN"/>
              </w:rPr>
              <w:t>、整车要求：知名品牌。</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2、整车规格：车身长度≥</w:t>
            </w:r>
            <w:r>
              <w:rPr>
                <w:rFonts w:hint="eastAsia" w:ascii="仿宋" w:hAnsi="仿宋" w:eastAsia="仿宋" w:cs="Times New Roman"/>
                <w:b/>
                <w:bCs/>
                <w:color w:val="auto"/>
                <w:sz w:val="21"/>
                <w:szCs w:val="21"/>
                <w:vertAlign w:val="baseline"/>
                <w:lang w:val="en-US" w:eastAsia="zh-CN"/>
              </w:rPr>
              <w:t>12</w:t>
            </w:r>
            <w:r>
              <w:rPr>
                <w:rFonts w:hint="default" w:ascii="仿宋" w:hAnsi="仿宋" w:eastAsia="仿宋" w:cs="Times New Roman"/>
                <w:b/>
                <w:bCs/>
                <w:color w:val="auto"/>
                <w:sz w:val="21"/>
                <w:szCs w:val="21"/>
                <w:vertAlign w:val="baseline"/>
                <w:lang w:val="en-US" w:eastAsia="zh-CN"/>
              </w:rPr>
              <w:t>米、车外宽不少于2.55米。</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3、锂电池或配发电机，发电机功率，且与车辆共用柴油，不另设发电机油箱。</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4、发动机：知名品牌。额定功率达到一定要求。</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5、底盘：离合器、变速器、缓速器、轮胎等。</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6、车身：车身结构和内饰</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7、车上设备：</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（1）配备专用设备（储血冰箱、水平离心机、采血秤、热合机等）</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（2）工作设施（采血台面、热合台面、工作人员座椅、采血椅、沙发、饮水机、</w:t>
            </w:r>
            <w:r>
              <w:rPr>
                <w:rFonts w:hint="eastAsia" w:ascii="仿宋" w:hAnsi="仿宋" w:eastAsia="仿宋" w:cs="Times New Roman"/>
                <w:b/>
                <w:bCs/>
                <w:color w:val="auto"/>
                <w:sz w:val="21"/>
                <w:szCs w:val="21"/>
                <w:vertAlign w:val="baseline"/>
                <w:lang w:val="en-US" w:eastAsia="zh-CN"/>
              </w:rPr>
              <w:t>紫外线灯、</w:t>
            </w:r>
            <w:r>
              <w:rPr>
                <w:rFonts w:hint="default" w:ascii="仿宋" w:hAnsi="仿宋" w:eastAsia="仿宋" w:cs="Times New Roman"/>
                <w:b/>
                <w:bCs/>
                <w:color w:val="auto"/>
                <w:sz w:val="21"/>
                <w:szCs w:val="21"/>
                <w:vertAlign w:val="baseline"/>
                <w:lang w:val="en-US" w:eastAsia="zh-CN"/>
              </w:rPr>
              <w:t>微波炉、车载空调、独立柜式空调、收纳柜、抽屉、洗手池、照明、车窗帘</w:t>
            </w:r>
            <w:r>
              <w:rPr>
                <w:rFonts w:hint="eastAsia" w:ascii="仿宋" w:hAnsi="仿宋" w:eastAsia="仿宋" w:cs="Times New Roman"/>
                <w:b/>
                <w:bCs/>
                <w:color w:val="auto"/>
                <w:sz w:val="21"/>
                <w:szCs w:val="21"/>
                <w:vertAlign w:val="baseline"/>
                <w:lang w:val="en-US" w:eastAsia="zh-CN"/>
              </w:rPr>
              <w:t>、车身LED屏、车载视频播放系统</w:t>
            </w:r>
            <w:r>
              <w:rPr>
                <w:rFonts w:hint="default" w:ascii="仿宋" w:hAnsi="仿宋" w:eastAsia="仿宋" w:cs="Times New Roman"/>
                <w:b/>
                <w:bCs/>
                <w:color w:val="auto"/>
                <w:sz w:val="21"/>
                <w:szCs w:val="21"/>
                <w:vertAlign w:val="baseline"/>
                <w:lang w:val="en-US" w:eastAsia="zh-CN"/>
              </w:rPr>
              <w:t>等）</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8、生产要求：车辆必须为车辆生产厂家原厂生产且底盘生产及车辆改装必须在同一城市（采血车生产厂家出具承诺函原件并加盖公章</w:t>
            </w:r>
            <w:r>
              <w:rPr>
                <w:rFonts w:hint="eastAsia" w:ascii="仿宋" w:hAnsi="仿宋" w:eastAsia="仿宋" w:cs="Times New Roman"/>
                <w:b/>
                <w:bCs/>
                <w:color w:val="auto"/>
                <w:sz w:val="21"/>
                <w:szCs w:val="21"/>
                <w:vertAlign w:val="baseline"/>
                <w:lang w:val="en-US" w:eastAsia="zh-CN"/>
              </w:rPr>
              <w:t>）</w:t>
            </w:r>
            <w:r>
              <w:rPr>
                <w:rFonts w:hint="default" w:ascii="仿宋" w:hAnsi="仿宋" w:eastAsia="仿宋" w:cs="Times New Roman"/>
                <w:b/>
                <w:bCs/>
                <w:color w:val="auto"/>
                <w:sz w:val="21"/>
                <w:szCs w:val="21"/>
                <w:vertAlign w:val="baseline"/>
                <w:lang w:val="en-US" w:eastAsia="zh-CN"/>
              </w:rPr>
              <w:t>。</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9、其他：隔离设施、护栏、售后服务、响应时效、质保期等。</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color w:val="auto"/>
                <w:sz w:val="21"/>
                <w:szCs w:val="21"/>
                <w:vertAlign w:val="baseline"/>
                <w:lang w:val="en-US" w:eastAsia="zh-CN"/>
              </w:rPr>
            </w:pPr>
            <w:r>
              <w:rPr>
                <w:rFonts w:hint="eastAsia" w:ascii="仿宋" w:hAnsi="仿宋" w:eastAsia="仿宋" w:cs="Times New Roman"/>
                <w:b/>
                <w:bCs/>
                <w:color w:val="auto"/>
                <w:sz w:val="21"/>
                <w:szCs w:val="21"/>
                <w:vertAlign w:val="baseline"/>
                <w:lang w:val="en-US" w:eastAsia="zh-CN"/>
              </w:rPr>
              <w:t>10、按照采购人要求设计、喷涂采血车外观，由此产生的产权归采购人所有，所得材料需移交采购人。</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eastAsia" w:ascii="仿宋" w:hAnsi="仿宋" w:eastAsia="仿宋" w:cs="Times New Roman"/>
                <w:b/>
                <w:bCs/>
                <w:color w:val="auto"/>
                <w:sz w:val="21"/>
                <w:szCs w:val="21"/>
                <w:vertAlign w:val="baseline"/>
                <w:lang w:val="en-US" w:eastAsia="zh-CN"/>
              </w:rPr>
              <w:t>11、含车辆购置税、上牌费用。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738"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2</w:t>
            </w:r>
          </w:p>
        </w:tc>
        <w:tc>
          <w:tcPr>
            <w:tcW w:w="850"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中型采血车</w:t>
            </w:r>
          </w:p>
        </w:tc>
        <w:tc>
          <w:tcPr>
            <w:tcW w:w="575"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辆</w:t>
            </w:r>
          </w:p>
        </w:tc>
        <w:tc>
          <w:tcPr>
            <w:tcW w:w="1134"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1</w:t>
            </w:r>
          </w:p>
        </w:tc>
        <w:tc>
          <w:tcPr>
            <w:tcW w:w="1095"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仿宋" w:hAnsi="仿宋" w:eastAsia="仿宋" w:cs="Times New Roman"/>
                <w:b/>
                <w:bCs/>
                <w:sz w:val="21"/>
                <w:szCs w:val="21"/>
                <w:vertAlign w:val="baseline"/>
                <w:lang w:val="en-US" w:eastAsia="zh-CN"/>
              </w:rPr>
            </w:pPr>
            <w:r>
              <w:rPr>
                <w:rFonts w:hint="eastAsia" w:ascii="仿宋" w:hAnsi="仿宋" w:eastAsia="仿宋" w:cs="Times New Roman"/>
                <w:b/>
                <w:bCs/>
                <w:sz w:val="21"/>
                <w:szCs w:val="21"/>
                <w:vertAlign w:val="baseline"/>
                <w:lang w:val="en-US" w:eastAsia="zh-CN"/>
              </w:rPr>
              <w:t>80.00万元</w:t>
            </w:r>
          </w:p>
        </w:tc>
        <w:tc>
          <w:tcPr>
            <w:tcW w:w="6483" w:type="dxa"/>
            <w:vAlign w:val="center"/>
          </w:tcPr>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eastAsia" w:ascii="仿宋" w:hAnsi="仿宋" w:eastAsia="仿宋" w:cs="Times New Roman"/>
                <w:b/>
                <w:bCs/>
                <w:color w:val="auto"/>
                <w:sz w:val="21"/>
                <w:szCs w:val="21"/>
                <w:vertAlign w:val="baseline"/>
                <w:lang w:val="en-US" w:eastAsia="zh-CN"/>
              </w:rPr>
              <w:t>1</w:t>
            </w:r>
            <w:r>
              <w:rPr>
                <w:rFonts w:hint="default" w:ascii="仿宋" w:hAnsi="仿宋" w:eastAsia="仿宋" w:cs="Times New Roman"/>
                <w:b/>
                <w:bCs/>
                <w:color w:val="auto"/>
                <w:sz w:val="21"/>
                <w:szCs w:val="21"/>
                <w:vertAlign w:val="baseline"/>
                <w:lang w:val="en-US" w:eastAsia="zh-CN"/>
              </w:rPr>
              <w:t>、整车要求：知名品牌。</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2、整车规格：车身长度</w:t>
            </w:r>
            <w:r>
              <w:rPr>
                <w:rFonts w:hint="eastAsia" w:ascii="仿宋" w:hAnsi="仿宋" w:eastAsia="仿宋" w:cs="Times New Roman"/>
                <w:b/>
                <w:bCs/>
                <w:color w:val="auto"/>
                <w:sz w:val="21"/>
                <w:szCs w:val="21"/>
                <w:vertAlign w:val="baseline"/>
                <w:lang w:val="en-US" w:eastAsia="zh-CN"/>
              </w:rPr>
              <w:t>8-8.5</w:t>
            </w:r>
            <w:r>
              <w:rPr>
                <w:rFonts w:hint="default" w:ascii="仿宋" w:hAnsi="仿宋" w:eastAsia="仿宋" w:cs="Times New Roman"/>
                <w:b/>
                <w:bCs/>
                <w:color w:val="auto"/>
                <w:sz w:val="21"/>
                <w:szCs w:val="21"/>
                <w:vertAlign w:val="baseline"/>
                <w:lang w:val="en-US" w:eastAsia="zh-CN"/>
              </w:rPr>
              <w:t>米</w:t>
            </w:r>
            <w:bookmarkStart w:id="0" w:name="_GoBack"/>
            <w:bookmarkEnd w:id="0"/>
            <w:r>
              <w:rPr>
                <w:rFonts w:hint="default" w:ascii="仿宋" w:hAnsi="仿宋" w:eastAsia="仿宋" w:cs="Times New Roman"/>
                <w:b/>
                <w:bCs/>
                <w:color w:val="auto"/>
                <w:sz w:val="21"/>
                <w:szCs w:val="21"/>
                <w:vertAlign w:val="baseline"/>
                <w:lang w:val="en-US" w:eastAsia="zh-CN"/>
              </w:rPr>
              <w:t>、车外宽不少于2.55米。油箱容积。</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3、锂电池或配发电机，发电机功率，且与车辆共用柴油，不另设发电机油箱。</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4、发动机：知名品牌。额定功率达到一定要求。</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5、底盘：离合器、变速器、缓速器、轮胎等。</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6、车身：车身结构和内饰</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7、车上设备：</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（1）配备专用设备（储血冰箱、水平离心机、采血秤、热合机等）</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（2）工作设施（采血台面、热合台面、工作人员座椅、采血椅、沙发、饮水机、</w:t>
            </w:r>
            <w:r>
              <w:rPr>
                <w:rFonts w:hint="eastAsia" w:ascii="仿宋" w:hAnsi="仿宋" w:eastAsia="仿宋" w:cs="Times New Roman"/>
                <w:b/>
                <w:bCs/>
                <w:color w:val="auto"/>
                <w:sz w:val="21"/>
                <w:szCs w:val="21"/>
                <w:vertAlign w:val="baseline"/>
                <w:lang w:val="en-US" w:eastAsia="zh-CN"/>
              </w:rPr>
              <w:t>紫外线灯、</w:t>
            </w:r>
            <w:r>
              <w:rPr>
                <w:rFonts w:hint="default" w:ascii="仿宋" w:hAnsi="仿宋" w:eastAsia="仿宋" w:cs="Times New Roman"/>
                <w:b/>
                <w:bCs/>
                <w:color w:val="auto"/>
                <w:sz w:val="21"/>
                <w:szCs w:val="21"/>
                <w:vertAlign w:val="baseline"/>
                <w:lang w:val="en-US" w:eastAsia="zh-CN"/>
              </w:rPr>
              <w:t>微波炉、车载空调、独立柜式空调、收纳柜、抽屉、洗手池、照明、车窗帘</w:t>
            </w:r>
            <w:r>
              <w:rPr>
                <w:rFonts w:hint="eastAsia" w:ascii="仿宋" w:hAnsi="仿宋" w:eastAsia="仿宋" w:cs="Times New Roman"/>
                <w:b/>
                <w:bCs/>
                <w:color w:val="auto"/>
                <w:sz w:val="21"/>
                <w:szCs w:val="21"/>
                <w:vertAlign w:val="baseline"/>
                <w:lang w:val="en-US" w:eastAsia="zh-CN"/>
              </w:rPr>
              <w:t>、</w:t>
            </w:r>
            <w:r>
              <w:rPr>
                <w:rFonts w:hint="default" w:ascii="仿宋" w:hAnsi="仿宋" w:eastAsia="仿宋" w:cs="Times New Roman"/>
                <w:b/>
                <w:bCs/>
                <w:color w:val="auto"/>
                <w:sz w:val="21"/>
                <w:szCs w:val="21"/>
                <w:vertAlign w:val="baseline"/>
                <w:lang w:val="en-US" w:eastAsia="zh-CN"/>
              </w:rPr>
              <w:t>车身LED屏、车载视频播放系统等）</w:t>
            </w:r>
          </w:p>
          <w:p>
            <w:pPr>
              <w:keepNext w:val="0"/>
              <w:keepLines w:val="0"/>
              <w:pageBreakBefore w:val="0"/>
              <w:widowControl w:val="0"/>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8、生产要求：车辆必须为车辆生产厂家原厂生产且底盘生产及车辆改装必须在同一城市（采血车生产厂家出具承诺函原件并加盖公章</w:t>
            </w:r>
            <w:r>
              <w:rPr>
                <w:rFonts w:hint="eastAsia" w:ascii="仿宋" w:hAnsi="仿宋" w:eastAsia="仿宋" w:cs="Times New Roman"/>
                <w:b/>
                <w:bCs/>
                <w:color w:val="auto"/>
                <w:sz w:val="21"/>
                <w:szCs w:val="21"/>
                <w:vertAlign w:val="baseline"/>
                <w:lang w:val="en-US" w:eastAsia="zh-CN"/>
              </w:rPr>
              <w:t>）</w:t>
            </w:r>
            <w:r>
              <w:rPr>
                <w:rFonts w:hint="default" w:ascii="仿宋" w:hAnsi="仿宋" w:eastAsia="仿宋" w:cs="Times New Roman"/>
                <w:b/>
                <w:bCs/>
                <w:color w:val="auto"/>
                <w:sz w:val="21"/>
                <w:szCs w:val="21"/>
                <w:vertAlign w:val="baseli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default" w:ascii="仿宋" w:hAnsi="仿宋" w:eastAsia="仿宋" w:cs="Times New Roman"/>
                <w:b/>
                <w:bCs/>
                <w:color w:val="auto"/>
                <w:sz w:val="21"/>
                <w:szCs w:val="21"/>
                <w:vertAlign w:val="baseline"/>
                <w:lang w:val="en-US" w:eastAsia="zh-CN"/>
              </w:rPr>
            </w:pPr>
            <w:r>
              <w:rPr>
                <w:rFonts w:hint="default" w:ascii="仿宋" w:hAnsi="仿宋" w:eastAsia="仿宋" w:cs="Times New Roman"/>
                <w:b/>
                <w:bCs/>
                <w:color w:val="auto"/>
                <w:sz w:val="21"/>
                <w:szCs w:val="21"/>
                <w:vertAlign w:val="baseline"/>
                <w:lang w:val="en-US" w:eastAsia="zh-CN"/>
              </w:rPr>
              <w:t>9、其他：隔离设施、护栏、售后服务、响应时效、质保期等。</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color w:val="auto"/>
                <w:sz w:val="21"/>
                <w:szCs w:val="21"/>
                <w:vertAlign w:val="baseline"/>
                <w:lang w:val="en-US" w:eastAsia="zh-CN"/>
              </w:rPr>
            </w:pPr>
            <w:r>
              <w:rPr>
                <w:rFonts w:hint="eastAsia" w:ascii="仿宋" w:hAnsi="仿宋" w:eastAsia="仿宋" w:cs="Times New Roman"/>
                <w:b/>
                <w:bCs/>
                <w:color w:val="auto"/>
                <w:sz w:val="21"/>
                <w:szCs w:val="21"/>
                <w:vertAlign w:val="baseline"/>
                <w:lang w:val="en-US" w:eastAsia="zh-CN"/>
              </w:rPr>
              <w:t>10、按照采购人要求设计、喷涂采血车外观，由此产生的产权归采购人所有，所得材料需移交采购人。</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color w:val="auto"/>
                <w:sz w:val="21"/>
                <w:szCs w:val="21"/>
                <w:vertAlign w:val="baseline"/>
                <w:lang w:val="en-US" w:eastAsia="zh-CN"/>
              </w:rPr>
            </w:pPr>
            <w:r>
              <w:rPr>
                <w:rFonts w:hint="eastAsia" w:ascii="仿宋" w:hAnsi="仿宋" w:eastAsia="仿宋" w:cs="Times New Roman"/>
                <w:b/>
                <w:bCs/>
                <w:color w:val="auto"/>
                <w:sz w:val="21"/>
                <w:szCs w:val="21"/>
                <w:vertAlign w:val="baseline"/>
                <w:lang w:val="en-US" w:eastAsia="zh-CN"/>
              </w:rPr>
              <w:t>11、含车辆购置税、上牌费用。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CA44A54"/>
    <w:rsid w:val="2CA44A54"/>
    <w:rsid w:val="780900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table" w:styleId="4">
    <w:name w:val="Table Grid"/>
    <w:basedOn w:val="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2022-01-24T07:37:00Z</dcterms:created>
  <dc:creator>WPS</dc:creator>
  <cp:lastModifiedBy>WPS</cp:lastModifiedBy>
  <dcterms:modified xsi:type="dcterms:W3CDTF">2022-01-24T08:18:57Z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979D983FF2744D8988E0EA0A986A501B</vt:lpwstr>
  </property>
</Properties>
</file>