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sz w:val="30"/>
          <w:szCs w:val="30"/>
          <w:highlight w:val="none"/>
          <w:lang w:val="en-US" w:eastAsia="zh-CN"/>
        </w:rPr>
      </w:pPr>
      <w:r>
        <w:rPr>
          <w:rFonts w:hint="eastAsia" w:ascii="仿宋" w:hAnsi="仿宋" w:eastAsia="仿宋" w:cs="Times New Roman"/>
          <w:b/>
          <w:bCs/>
          <w:sz w:val="30"/>
          <w:szCs w:val="30"/>
          <w:highlight w:val="none"/>
          <w:lang w:val="en-US" w:eastAsia="zh-CN"/>
        </w:rPr>
        <w:t>附件1</w:t>
      </w:r>
    </w:p>
    <w:p>
      <w:pPr>
        <w:keepNext w:val="0"/>
        <w:keepLines w:val="0"/>
        <w:pageBreakBefore w:val="0"/>
        <w:widowControl w:val="0"/>
        <w:kinsoku/>
        <w:wordWrap/>
        <w:overflowPunct/>
        <w:topLinePunct w:val="0"/>
        <w:autoSpaceDE/>
        <w:autoSpaceDN/>
        <w:bidi w:val="0"/>
        <w:adjustRightInd/>
        <w:snapToGrid/>
        <w:spacing w:line="520" w:lineRule="exact"/>
        <w:ind w:firstLine="602" w:firstLineChars="200"/>
        <w:jc w:val="center"/>
        <w:textAlignment w:val="auto"/>
        <w:rPr>
          <w:rFonts w:hint="eastAsia" w:ascii="仿宋" w:hAnsi="仿宋" w:eastAsia="仿宋" w:cs="Times New Roman"/>
          <w:b/>
          <w:bCs/>
          <w:sz w:val="30"/>
          <w:szCs w:val="30"/>
          <w:highlight w:val="none"/>
          <w:lang w:val="en-US" w:eastAsia="zh-CN"/>
        </w:rPr>
      </w:pPr>
      <w:bookmarkStart w:id="0" w:name="_GoBack"/>
      <w:r>
        <w:rPr>
          <w:rFonts w:hint="eastAsia" w:ascii="仿宋" w:hAnsi="仿宋" w:eastAsia="仿宋" w:cs="Times New Roman"/>
          <w:b/>
          <w:bCs/>
          <w:sz w:val="30"/>
          <w:szCs w:val="30"/>
          <w:highlight w:val="none"/>
          <w:lang w:val="en-US" w:eastAsia="zh-CN"/>
        </w:rPr>
        <w:t>南宁中心血站采购项目基本情况及需求</w:t>
      </w:r>
    </w:p>
    <w:bookmarkEnd w:id="0"/>
    <w:tbl>
      <w:tblPr>
        <w:tblStyle w:val="4"/>
        <w:tblpPr w:leftFromText="180" w:rightFromText="180" w:vertAnchor="text" w:horzAnchor="page" w:tblpX="674" w:tblpY="173"/>
        <w:tblOverlap w:val="never"/>
        <w:tblW w:w="108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788"/>
        <w:gridCol w:w="725"/>
        <w:gridCol w:w="1200"/>
        <w:gridCol w:w="912"/>
        <w:gridCol w:w="6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800"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highlight w:val="none"/>
                <w:vertAlign w:val="baseline"/>
                <w:lang w:val="en-US" w:eastAsia="zh-CN"/>
              </w:rPr>
            </w:pPr>
            <w:r>
              <w:rPr>
                <w:rFonts w:hint="eastAsia" w:ascii="仿宋" w:hAnsi="仿宋" w:eastAsia="仿宋" w:cs="Times New Roman"/>
                <w:b/>
                <w:bCs/>
                <w:sz w:val="28"/>
                <w:szCs w:val="28"/>
                <w:highlight w:val="none"/>
                <w:vertAlign w:val="baseline"/>
                <w:lang w:val="en-US" w:eastAsia="zh-CN"/>
              </w:rPr>
              <w:t>序号</w:t>
            </w:r>
          </w:p>
        </w:tc>
        <w:tc>
          <w:tcPr>
            <w:tcW w:w="788"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highlight w:val="none"/>
                <w:vertAlign w:val="baseline"/>
                <w:lang w:val="en-US" w:eastAsia="zh-CN"/>
              </w:rPr>
            </w:pPr>
            <w:r>
              <w:rPr>
                <w:rFonts w:hint="eastAsia" w:ascii="仿宋" w:hAnsi="仿宋" w:eastAsia="仿宋" w:cs="Times New Roman"/>
                <w:b/>
                <w:bCs/>
                <w:sz w:val="28"/>
                <w:szCs w:val="28"/>
                <w:highlight w:val="none"/>
                <w:vertAlign w:val="baseline"/>
                <w:lang w:val="en-US" w:eastAsia="zh-CN"/>
              </w:rPr>
              <w:t>项目名称</w:t>
            </w:r>
          </w:p>
        </w:tc>
        <w:tc>
          <w:tcPr>
            <w:tcW w:w="725"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highlight w:val="none"/>
                <w:vertAlign w:val="baseline"/>
                <w:lang w:val="en-US" w:eastAsia="zh-CN"/>
              </w:rPr>
            </w:pPr>
            <w:r>
              <w:rPr>
                <w:rFonts w:hint="eastAsia" w:ascii="仿宋" w:hAnsi="仿宋" w:eastAsia="仿宋" w:cs="Times New Roman"/>
                <w:b/>
                <w:bCs/>
                <w:sz w:val="28"/>
                <w:szCs w:val="28"/>
                <w:highlight w:val="none"/>
                <w:vertAlign w:val="baseline"/>
                <w:lang w:val="en-US" w:eastAsia="zh-CN"/>
              </w:rPr>
              <w:t>单位</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highlight w:val="none"/>
                <w:vertAlign w:val="baseline"/>
                <w:lang w:val="en-US" w:eastAsia="zh-CN"/>
              </w:rPr>
            </w:pPr>
            <w:r>
              <w:rPr>
                <w:rFonts w:hint="eastAsia" w:ascii="仿宋" w:hAnsi="仿宋" w:eastAsia="仿宋" w:cs="Times New Roman"/>
                <w:b/>
                <w:bCs/>
                <w:sz w:val="28"/>
                <w:szCs w:val="28"/>
                <w:highlight w:val="none"/>
                <w:vertAlign w:val="baseline"/>
                <w:lang w:val="en-US" w:eastAsia="zh-CN"/>
              </w:rPr>
              <w:t>计划采购数量</w:t>
            </w:r>
          </w:p>
        </w:tc>
        <w:tc>
          <w:tcPr>
            <w:tcW w:w="912"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highlight w:val="none"/>
                <w:vertAlign w:val="baseline"/>
                <w:lang w:val="en-US" w:eastAsia="zh-CN"/>
              </w:rPr>
            </w:pPr>
            <w:r>
              <w:rPr>
                <w:rFonts w:hint="eastAsia" w:ascii="仿宋" w:hAnsi="仿宋" w:eastAsia="仿宋" w:cs="Times New Roman"/>
                <w:b/>
                <w:bCs/>
                <w:sz w:val="28"/>
                <w:szCs w:val="28"/>
                <w:highlight w:val="none"/>
                <w:vertAlign w:val="baseline"/>
                <w:lang w:val="en-US" w:eastAsia="zh-CN"/>
              </w:rPr>
              <w:t>采购预算</w:t>
            </w:r>
          </w:p>
        </w:tc>
        <w:tc>
          <w:tcPr>
            <w:tcW w:w="6450"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highlight w:val="none"/>
                <w:vertAlign w:val="baseline"/>
                <w:lang w:val="en-US" w:eastAsia="zh-CN"/>
              </w:rPr>
            </w:pPr>
            <w:r>
              <w:rPr>
                <w:rFonts w:hint="eastAsia" w:ascii="仿宋" w:hAnsi="仿宋" w:eastAsia="仿宋" w:cs="Times New Roman"/>
                <w:b/>
                <w:bCs/>
                <w:sz w:val="28"/>
                <w:szCs w:val="28"/>
                <w:highlight w:val="none"/>
                <w:vertAlign w:val="baseline"/>
                <w:lang w:val="en-US" w:eastAsia="zh-CN"/>
              </w:rPr>
              <w:t>基本情况及需求</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800"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仿宋" w:hAnsi="仿宋" w:eastAsia="仿宋" w:cs="Times New Roman"/>
                <w:b/>
                <w:bCs/>
                <w:sz w:val="21"/>
                <w:szCs w:val="21"/>
                <w:highlight w:val="none"/>
                <w:vertAlign w:val="baseline"/>
                <w:lang w:val="en-US" w:eastAsia="zh-CN"/>
              </w:rPr>
            </w:pPr>
            <w:r>
              <w:rPr>
                <w:rFonts w:hint="eastAsia" w:ascii="仿宋" w:hAnsi="仿宋" w:eastAsia="仿宋" w:cs="Times New Roman"/>
                <w:b/>
                <w:bCs/>
                <w:sz w:val="21"/>
                <w:szCs w:val="21"/>
                <w:highlight w:val="none"/>
                <w:vertAlign w:val="baseline"/>
                <w:lang w:val="en-US" w:eastAsia="zh-CN"/>
              </w:rPr>
              <w:t>1</w:t>
            </w:r>
          </w:p>
        </w:tc>
        <w:tc>
          <w:tcPr>
            <w:tcW w:w="788"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1"/>
                <w:szCs w:val="21"/>
                <w:highlight w:val="none"/>
                <w:vertAlign w:val="baseline"/>
                <w:lang w:val="en-US" w:eastAsia="zh-CN"/>
              </w:rPr>
            </w:pPr>
            <w:r>
              <w:rPr>
                <w:rFonts w:hint="eastAsia" w:ascii="仿宋" w:hAnsi="仿宋" w:eastAsia="仿宋" w:cs="Times New Roman"/>
                <w:b/>
                <w:bCs/>
                <w:sz w:val="21"/>
                <w:szCs w:val="21"/>
                <w:highlight w:val="none"/>
                <w:vertAlign w:val="baseline"/>
                <w:lang w:val="en-US" w:eastAsia="zh-CN"/>
              </w:rPr>
              <w:t>南宁宁中心血站档案无纸化系统</w:t>
            </w:r>
          </w:p>
        </w:tc>
        <w:tc>
          <w:tcPr>
            <w:tcW w:w="725"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1"/>
                <w:szCs w:val="21"/>
                <w:highlight w:val="none"/>
                <w:vertAlign w:val="baseline"/>
                <w:lang w:val="en-US" w:eastAsia="zh-CN"/>
              </w:rPr>
            </w:pPr>
            <w:r>
              <w:rPr>
                <w:rFonts w:hint="eastAsia" w:ascii="仿宋" w:hAnsi="仿宋" w:eastAsia="仿宋" w:cs="Times New Roman"/>
                <w:b/>
                <w:bCs/>
                <w:sz w:val="21"/>
                <w:szCs w:val="21"/>
                <w:highlight w:val="none"/>
                <w:vertAlign w:val="baseline"/>
                <w:lang w:val="en-US" w:eastAsia="zh-CN"/>
              </w:rPr>
              <w:t>套</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仿宋" w:hAnsi="仿宋" w:eastAsia="仿宋" w:cs="Times New Roman"/>
                <w:b/>
                <w:bCs/>
                <w:sz w:val="21"/>
                <w:szCs w:val="21"/>
                <w:highlight w:val="none"/>
                <w:vertAlign w:val="baseline"/>
                <w:lang w:val="en-US" w:eastAsia="zh-CN"/>
              </w:rPr>
            </w:pPr>
            <w:r>
              <w:rPr>
                <w:rFonts w:hint="eastAsia" w:ascii="仿宋" w:hAnsi="仿宋" w:eastAsia="仿宋" w:cs="Times New Roman"/>
                <w:b/>
                <w:bCs/>
                <w:sz w:val="21"/>
                <w:szCs w:val="21"/>
                <w:highlight w:val="none"/>
                <w:vertAlign w:val="baseline"/>
                <w:lang w:val="en-US" w:eastAsia="zh-CN"/>
              </w:rPr>
              <w:t>1</w:t>
            </w:r>
          </w:p>
        </w:tc>
        <w:tc>
          <w:tcPr>
            <w:tcW w:w="912"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仿宋" w:hAnsi="仿宋" w:eastAsia="仿宋" w:cs="Times New Roman"/>
                <w:b/>
                <w:bCs/>
                <w:sz w:val="21"/>
                <w:szCs w:val="21"/>
                <w:highlight w:val="none"/>
                <w:vertAlign w:val="baseline"/>
                <w:lang w:val="en-US" w:eastAsia="zh-CN"/>
              </w:rPr>
            </w:pPr>
            <w:r>
              <w:rPr>
                <w:rFonts w:hint="eastAsia" w:ascii="仿宋" w:hAnsi="仿宋" w:eastAsia="仿宋" w:cs="Times New Roman"/>
                <w:b/>
                <w:bCs/>
                <w:sz w:val="21"/>
                <w:szCs w:val="21"/>
                <w:highlight w:val="none"/>
                <w:vertAlign w:val="baseline"/>
                <w:lang w:val="en-US" w:eastAsia="zh-CN"/>
              </w:rPr>
              <w:t>300.00万元</w:t>
            </w:r>
          </w:p>
        </w:tc>
        <w:tc>
          <w:tcPr>
            <w:tcW w:w="6450"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highlight w:val="none"/>
                <w:vertAlign w:val="baseline"/>
                <w:lang w:val="en-US" w:eastAsia="zh-CN"/>
              </w:rPr>
            </w:pPr>
            <w:r>
              <w:rPr>
                <w:rFonts w:hint="eastAsia" w:ascii="仿宋" w:hAnsi="仿宋" w:eastAsia="仿宋" w:cs="Times New Roman"/>
                <w:b/>
                <w:bCs/>
                <w:sz w:val="21"/>
                <w:szCs w:val="21"/>
                <w:highlight w:val="none"/>
                <w:vertAlign w:val="baseline"/>
                <w:lang w:val="en-US" w:eastAsia="zh-CN"/>
              </w:rPr>
              <w:t>一、能够与血站各信息系统间衔接和兼容，支持归档范围和保管期限的自定义功能，能实现电子文件归档要求及功能嵌入文件生成系统、各信息系统所形成电子文件实现电子文件自动捕获和相关接口并归档。</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highlight w:val="none"/>
                <w:vertAlign w:val="baseline"/>
                <w:lang w:val="en-US" w:eastAsia="zh-CN"/>
              </w:rPr>
            </w:pPr>
            <w:r>
              <w:rPr>
                <w:rFonts w:hint="eastAsia" w:ascii="仿宋" w:hAnsi="仿宋" w:eastAsia="仿宋" w:cs="Times New Roman"/>
                <w:b/>
                <w:bCs/>
                <w:sz w:val="21"/>
                <w:szCs w:val="21"/>
                <w:highlight w:val="none"/>
                <w:vertAlign w:val="baseline"/>
                <w:lang w:val="en-US" w:eastAsia="zh-CN"/>
              </w:rPr>
              <w:t>二、传统载体档案数字化，包括纸质档案或缩微胶片数字化情况、照片档案和声像档案数字化。</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highlight w:val="none"/>
                <w:vertAlign w:val="baseline"/>
                <w:lang w:val="en-US" w:eastAsia="zh-CN"/>
              </w:rPr>
            </w:pPr>
            <w:r>
              <w:rPr>
                <w:rFonts w:hint="eastAsia" w:ascii="仿宋" w:hAnsi="仿宋" w:eastAsia="仿宋" w:cs="Times New Roman"/>
                <w:b/>
                <w:bCs/>
                <w:sz w:val="21"/>
                <w:szCs w:val="21"/>
                <w:highlight w:val="none"/>
                <w:vertAlign w:val="baseline"/>
                <w:lang w:val="en-US" w:eastAsia="zh-CN"/>
              </w:rPr>
              <w:t>三、电子档案的保管，包括电子档案元数据管理、“四性”检测、封装、整理、电子档案存储、长期保存、超过保管期限的电子档案的鉴定和销毁。</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highlight w:val="none"/>
                <w:vertAlign w:val="baseline"/>
                <w:lang w:val="en-US" w:eastAsia="zh-CN"/>
              </w:rPr>
            </w:pPr>
            <w:r>
              <w:rPr>
                <w:rFonts w:hint="eastAsia" w:ascii="仿宋" w:hAnsi="仿宋" w:eastAsia="仿宋" w:cs="Times New Roman"/>
                <w:b/>
                <w:bCs/>
                <w:sz w:val="21"/>
                <w:szCs w:val="21"/>
                <w:highlight w:val="none"/>
                <w:vertAlign w:val="baseline"/>
                <w:lang w:val="en-US" w:eastAsia="zh-CN"/>
              </w:rPr>
              <w:t>四、档案网络化服务，包括室藏档案目录数据库及全文检索程度、对数字化档案和各信息系统归档的电子文件提供网络化服务情况、涉密或非涉密档案管理系统与互联网隔离情况、档案管理系统安全保密措施、档案管理服务器备份恢复措施、各信息系统生成电子文件自动归档功能的模块或接口情况。</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highlight w:val="none"/>
                <w:vertAlign w:val="baseline"/>
                <w:lang w:val="en-US" w:eastAsia="zh-CN"/>
              </w:rPr>
            </w:pPr>
            <w:r>
              <w:rPr>
                <w:rFonts w:hint="eastAsia" w:ascii="仿宋" w:hAnsi="仿宋" w:eastAsia="仿宋" w:cs="Times New Roman"/>
                <w:b/>
                <w:bCs/>
                <w:sz w:val="21"/>
                <w:szCs w:val="21"/>
                <w:highlight w:val="none"/>
                <w:vertAlign w:val="baseline"/>
                <w:lang w:val="en-US" w:eastAsia="zh-CN"/>
              </w:rPr>
              <w:t>档案管理系统软件具有支持实体档案辅助管理和电子文件管理、档案管理系统与各信息系统之间衔接和兼容、支持电子档案可靠安全利用和控制等。实现电子档案形成、办理、归档、利用等环节的标准化、规范化管理，便于挖掘档案凭证价值及参考价值，为单位管理者以及决策人员提供决策依据，提升单位内部管理的整体效益和效率。</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highlight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30"/>
          <w:szCs w:val="30"/>
          <w:highlight w:val="none"/>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753839"/>
    <w:rsid w:val="3B7538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2022-02-28T06:15:00Z</dcterms:created>
  <dc:creator>WPS</dc:creator>
  <cp:lastModifiedBy>WPS</cp:lastModifiedBy>
  <dcterms:modified xsi:type="dcterms:W3CDTF">2022-02-28T06:15:38Z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B394B9449B2040E886B6B6A445F3E53E</vt:lpwstr>
  </property>
</Properties>
</file>