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/>
          <w:sz w:val="30"/>
          <w:szCs w:val="30"/>
          <w:highlight w:val="none"/>
          <w:lang w:val="en-US" w:eastAsia="zh-CN"/>
        </w:rPr>
      </w:pPr>
      <w:r>
        <w:rPr>
          <w:rFonts w:hint="eastAsia" w:ascii="仿宋" w:hAnsi="仿宋" w:eastAsia="仿宋" w:cs="Times New Roman"/>
          <w:b/>
          <w:bCs/>
          <w:sz w:val="30"/>
          <w:szCs w:val="30"/>
          <w:highlight w:val="none"/>
          <w:lang w:val="en-US" w:eastAsia="zh-CN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2" w:firstLineChars="200"/>
        <w:jc w:val="center"/>
        <w:textAlignment w:val="auto"/>
        <w:rPr>
          <w:rFonts w:hint="eastAsia" w:ascii="仿宋" w:hAnsi="仿宋" w:eastAsia="仿宋" w:cs="Times New Roman"/>
          <w:b/>
          <w:bCs/>
          <w:sz w:val="30"/>
          <w:szCs w:val="30"/>
          <w:highlight w:val="none"/>
          <w:lang w:val="en-US" w:eastAsia="zh-CN"/>
        </w:rPr>
      </w:pPr>
      <w:bookmarkStart w:id="0" w:name="_GoBack"/>
      <w:r>
        <w:rPr>
          <w:rFonts w:hint="eastAsia" w:ascii="仿宋" w:hAnsi="仿宋" w:eastAsia="仿宋" w:cs="Times New Roman"/>
          <w:b/>
          <w:bCs/>
          <w:sz w:val="30"/>
          <w:szCs w:val="30"/>
          <w:highlight w:val="none"/>
          <w:lang w:val="en-US" w:eastAsia="zh-CN"/>
        </w:rPr>
        <w:t>南宁中心血站采购项目基本情况及需求</w:t>
      </w:r>
      <w:bookmarkEnd w:id="0"/>
    </w:p>
    <w:tbl>
      <w:tblPr>
        <w:tblStyle w:val="4"/>
        <w:tblpPr w:leftFromText="180" w:rightFromText="180" w:vertAnchor="text" w:horzAnchor="page" w:tblpX="674" w:tblpY="173"/>
        <w:tblOverlap w:val="never"/>
        <w:tblW w:w="108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0"/>
        <w:gridCol w:w="788"/>
        <w:gridCol w:w="725"/>
        <w:gridCol w:w="1200"/>
        <w:gridCol w:w="912"/>
        <w:gridCol w:w="64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5" w:hRule="atLeast"/>
        </w:trPr>
        <w:tc>
          <w:tcPr>
            <w:tcW w:w="8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7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7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单位</w:t>
            </w:r>
          </w:p>
        </w:tc>
        <w:tc>
          <w:tcPr>
            <w:tcW w:w="12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计划采购数量</w:t>
            </w:r>
          </w:p>
        </w:tc>
        <w:tc>
          <w:tcPr>
            <w:tcW w:w="91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采购预算</w:t>
            </w:r>
          </w:p>
        </w:tc>
        <w:tc>
          <w:tcPr>
            <w:tcW w:w="64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基本情况及需求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8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7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南宁中心血站邕江北岸江滨步道打造无偿献血公园小品</w:t>
            </w:r>
          </w:p>
        </w:tc>
        <w:tc>
          <w:tcPr>
            <w:tcW w:w="7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项</w:t>
            </w:r>
          </w:p>
        </w:tc>
        <w:tc>
          <w:tcPr>
            <w:tcW w:w="12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91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140万元</w:t>
            </w:r>
          </w:p>
        </w:tc>
        <w:tc>
          <w:tcPr>
            <w:tcW w:w="64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项目位置及目的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邕江北岸公园白沙大桥至葫芦鼎大桥约1.5公里区域内通过设计制作实现多点位、多形式设置无偿献血主题宣传小品广告，打造具有南宁特色的无偿献血主题园。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小品内容及要求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1、包含无偿献血主题公园标识、互动拍照框、无偿献血科普长廊、南宁市献血卡通形象造型、无偿献血宣传栏等内容且不限于此。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2、小品所用材料材质颜料等符合国家有关标准及设计要求，耐高温、耐雨水冲刷，不易褪色，无毒无害，安全美观大方。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eastAsia" w:ascii="仿宋" w:hAnsi="仿宋" w:eastAsia="仿宋" w:cs="Times New Roman"/>
          <w:b/>
          <w:bCs/>
          <w:sz w:val="30"/>
          <w:szCs w:val="30"/>
          <w:highlight w:val="none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E0AE151"/>
    <w:multiLevelType w:val="singleLevel"/>
    <w:tmpl w:val="AE0AE151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B64D2C"/>
    <w:rsid w:val="6BB64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2022-02-28T07:13:00Z</dcterms:created>
  <dc:creator>WPS</dc:creator>
  <cp:lastModifiedBy>WPS</cp:lastModifiedBy>
  <dcterms:modified xsi:type="dcterms:W3CDTF">2022-02-28T07:13:39Z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37BE0E8C1ECC4EAA88B569527117C5A6</vt:lpwstr>
  </property>
</Properties>
</file>