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outlineLvl w:val="0"/>
        <w:rPr>
          <w:rFonts w:hint="default" w:ascii="Times New Roman" w:hAnsi="Times New Roman" w:eastAsiaTheme="minorEastAsia"/>
          <w:b w:val="0"/>
          <w:bCs/>
          <w:sz w:val="28"/>
          <w:szCs w:val="28"/>
          <w:lang w:val="en-US" w:eastAsia="zh-CN"/>
        </w:rPr>
      </w:pPr>
      <w:r>
        <w:rPr>
          <w:rFonts w:hint="eastAsia" w:ascii="Times New Roman" w:hAnsi="Times New Roman"/>
          <w:b w:val="0"/>
          <w:bCs/>
          <w:sz w:val="28"/>
          <w:szCs w:val="28"/>
          <w:lang w:val="en-US" w:eastAsia="zh-CN"/>
        </w:rPr>
        <w:t>附件1</w:t>
      </w:r>
    </w:p>
    <w:p>
      <w:pPr>
        <w:pStyle w:val="4"/>
        <w:jc w:val="center"/>
        <w:outlineLvl w:val="0"/>
        <w:rPr>
          <w:rFonts w:ascii="Times New Roman" w:hAnsi="Times New Roman"/>
          <w:b/>
          <w:sz w:val="36"/>
        </w:rPr>
      </w:pPr>
      <w:r>
        <w:rPr>
          <w:rFonts w:hint="eastAsia" w:ascii="Times New Roman" w:hAnsi="Times New Roman"/>
          <w:b/>
          <w:sz w:val="36"/>
        </w:rPr>
        <w:t>采购需求一览表</w:t>
      </w:r>
      <w:bookmarkStart w:id="0" w:name="_GoBack"/>
      <w:bookmarkEnd w:id="0"/>
    </w:p>
    <w:p>
      <w:pPr>
        <w:pStyle w:val="4"/>
        <w:keepNext w:val="0"/>
        <w:keepLines w:val="0"/>
        <w:pageBreakBefore w:val="0"/>
        <w:kinsoku/>
        <w:wordWrap/>
        <w:overflowPunct/>
        <w:topLinePunct w:val="0"/>
        <w:bidi w:val="0"/>
        <w:spacing w:line="560" w:lineRule="exact"/>
        <w:ind w:firstLine="210" w:firstLineChars="100"/>
        <w:textAlignment w:val="auto"/>
        <w:rPr>
          <w:rFonts w:hint="eastAsia" w:ascii="宋体" w:hAnsi="宋体" w:eastAsia="宋体" w:cs="宋体"/>
          <w:szCs w:val="21"/>
          <w:lang w:eastAsia="zh-CN"/>
        </w:rPr>
      </w:pPr>
      <w:r>
        <w:rPr>
          <w:rFonts w:hint="eastAsia" w:ascii="宋体" w:hAnsi="宋体" w:eastAsia="宋体" w:cs="宋体"/>
          <w:szCs w:val="21"/>
        </w:rPr>
        <w:t xml:space="preserve"> </w:t>
      </w:r>
      <w:r>
        <w:rPr>
          <w:rFonts w:hint="eastAsia" w:ascii="宋体" w:hAnsi="宋体" w:cs="宋体"/>
          <w:szCs w:val="21"/>
          <w:lang w:eastAsia="zh-CN"/>
        </w:rPr>
        <w:t>说明：</w:t>
      </w:r>
      <w:r>
        <w:rPr>
          <w:rFonts w:hint="eastAsia" w:ascii="宋体" w:hAnsi="宋体"/>
          <w:b/>
        </w:rPr>
        <w:t>本货物需求一览表中标注</w:t>
      </w:r>
      <w:r>
        <w:rPr>
          <w:rFonts w:hint="eastAsia" w:ascii="宋体" w:hAnsi="宋体"/>
          <w:szCs w:val="21"/>
        </w:rPr>
        <w:t>★</w:t>
      </w:r>
      <w:r>
        <w:rPr>
          <w:rFonts w:hint="eastAsia" w:ascii="宋体" w:hAnsi="宋体"/>
          <w:b/>
        </w:rPr>
        <w:t>号的内容为实质性要求和条件</w:t>
      </w:r>
      <w:r>
        <w:rPr>
          <w:rFonts w:hint="eastAsia" w:ascii="宋体" w:hAnsi="宋体"/>
        </w:rPr>
        <w:t>。</w:t>
      </w:r>
    </w:p>
    <w:tbl>
      <w:tblPr>
        <w:tblStyle w:val="6"/>
        <w:tblW w:w="937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63"/>
        <w:gridCol w:w="1552"/>
        <w:gridCol w:w="985"/>
        <w:gridCol w:w="3675"/>
        <w:gridCol w:w="1125"/>
        <w:gridCol w:w="137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66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keepNext w:val="0"/>
              <w:keepLines w:val="0"/>
              <w:pageBreakBefore w:val="0"/>
              <w:kinsoku/>
              <w:wordWrap/>
              <w:overflowPunct/>
              <w:topLinePunct w:val="0"/>
              <w:bidi w:val="0"/>
              <w:spacing w:line="560" w:lineRule="exact"/>
              <w:jc w:val="center"/>
              <w:textAlignment w:val="auto"/>
              <w:rPr>
                <w:rFonts w:ascii="宋体" w:hAnsi="宋体"/>
                <w:b/>
                <w:szCs w:val="21"/>
              </w:rPr>
            </w:pPr>
            <w:r>
              <w:rPr>
                <w:rFonts w:hint="eastAsia" w:ascii="宋体" w:hAnsi="宋体"/>
                <w:b/>
                <w:szCs w:val="21"/>
              </w:rPr>
              <w:t>项号</w:t>
            </w:r>
          </w:p>
        </w:tc>
        <w:tc>
          <w:tcPr>
            <w:tcW w:w="155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60" w:lineRule="exact"/>
              <w:jc w:val="center"/>
              <w:textAlignment w:val="auto"/>
              <w:rPr>
                <w:rFonts w:hint="eastAsia" w:ascii="宋体" w:hAnsi="宋体" w:eastAsia="宋体"/>
                <w:b/>
                <w:szCs w:val="21"/>
                <w:lang w:eastAsia="zh-CN"/>
              </w:rPr>
            </w:pPr>
            <w:r>
              <w:rPr>
                <w:rFonts w:hint="eastAsia" w:ascii="宋体" w:hAnsi="宋体"/>
                <w:b/>
                <w:szCs w:val="21"/>
                <w:lang w:eastAsia="zh-CN"/>
              </w:rPr>
              <w:t>刊号</w:t>
            </w:r>
          </w:p>
        </w:tc>
        <w:tc>
          <w:tcPr>
            <w:tcW w:w="9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60" w:lineRule="exact"/>
              <w:jc w:val="center"/>
              <w:textAlignment w:val="auto"/>
              <w:rPr>
                <w:rFonts w:hint="eastAsia" w:ascii="宋体" w:hAnsi="宋体" w:eastAsia="宋体"/>
                <w:b/>
                <w:szCs w:val="21"/>
                <w:lang w:eastAsia="zh-CN"/>
              </w:rPr>
            </w:pPr>
            <w:r>
              <w:rPr>
                <w:rFonts w:hint="eastAsia" w:ascii="宋体" w:hAnsi="宋体"/>
                <w:b/>
                <w:szCs w:val="21"/>
                <w:lang w:eastAsia="zh-CN"/>
              </w:rPr>
              <w:t>期次</w:t>
            </w:r>
          </w:p>
        </w:tc>
        <w:tc>
          <w:tcPr>
            <w:tcW w:w="367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60" w:lineRule="exact"/>
              <w:jc w:val="center"/>
              <w:textAlignment w:val="auto"/>
              <w:rPr>
                <w:rFonts w:hint="eastAsia" w:ascii="宋体" w:hAnsi="宋体" w:eastAsia="宋体" w:cs="Times New Roman"/>
                <w:b/>
                <w:kern w:val="2"/>
                <w:sz w:val="21"/>
                <w:szCs w:val="21"/>
                <w:lang w:val="en-US" w:eastAsia="zh-CN" w:bidi="ar-SA"/>
              </w:rPr>
            </w:pPr>
            <w:r>
              <w:rPr>
                <w:rFonts w:hint="eastAsia" w:ascii="宋体" w:hAnsi="宋体" w:cs="Times New Roman"/>
                <w:b/>
                <w:kern w:val="2"/>
                <w:sz w:val="21"/>
                <w:szCs w:val="21"/>
                <w:lang w:val="en-US" w:eastAsia="zh-CN" w:bidi="ar-SA"/>
              </w:rPr>
              <w:t>刊名</w:t>
            </w:r>
          </w:p>
        </w:tc>
        <w:tc>
          <w:tcPr>
            <w:tcW w:w="112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60" w:lineRule="exact"/>
              <w:jc w:val="center"/>
              <w:textAlignment w:val="auto"/>
              <w:rPr>
                <w:rFonts w:hint="eastAsia" w:ascii="宋体" w:hAnsi="宋体" w:cs="Times New Roman"/>
                <w:b/>
                <w:kern w:val="2"/>
                <w:sz w:val="21"/>
                <w:szCs w:val="21"/>
                <w:lang w:val="en-US" w:eastAsia="zh-CN" w:bidi="ar-SA"/>
              </w:rPr>
            </w:pPr>
            <w:r>
              <w:rPr>
                <w:rFonts w:hint="eastAsia" w:ascii="宋体" w:hAnsi="宋体" w:cs="Times New Roman"/>
                <w:b/>
                <w:kern w:val="2"/>
                <w:sz w:val="21"/>
                <w:szCs w:val="21"/>
                <w:lang w:val="en-US" w:eastAsia="zh-CN" w:bidi="ar-SA"/>
              </w:rPr>
              <w:t>订数</w:t>
            </w:r>
          </w:p>
        </w:tc>
        <w:tc>
          <w:tcPr>
            <w:tcW w:w="13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60" w:lineRule="exact"/>
              <w:jc w:val="center"/>
              <w:textAlignment w:val="auto"/>
              <w:rPr>
                <w:rFonts w:hint="default" w:ascii="宋体" w:hAnsi="宋体" w:cs="Times New Roman"/>
                <w:b/>
                <w:kern w:val="2"/>
                <w:sz w:val="21"/>
                <w:szCs w:val="21"/>
                <w:lang w:val="en-US" w:eastAsia="zh-CN" w:bidi="ar-SA"/>
              </w:rPr>
            </w:pPr>
            <w:r>
              <w:rPr>
                <w:rFonts w:hint="eastAsia" w:ascii="宋体" w:hAnsi="宋体" w:cs="Times New Roman"/>
                <w:b/>
                <w:kern w:val="2"/>
                <w:sz w:val="21"/>
                <w:szCs w:val="21"/>
                <w:lang w:val="en-US" w:eastAsia="zh-CN" w:bidi="ar-SA"/>
              </w:rPr>
              <w:t>分项预算（元）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09" w:hRule="atLeast"/>
          <w:jc w:val="center"/>
        </w:trPr>
        <w:tc>
          <w:tcPr>
            <w:tcW w:w="66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keepNext w:val="0"/>
              <w:keepLines w:val="0"/>
              <w:pageBreakBefore w:val="0"/>
              <w:kinsoku/>
              <w:wordWrap/>
              <w:overflowPunct/>
              <w:topLinePunct w:val="0"/>
              <w:bidi w:val="0"/>
              <w:spacing w:line="560" w:lineRule="exact"/>
              <w:jc w:val="center"/>
              <w:textAlignment w:val="auto"/>
              <w:rPr>
                <w:rFonts w:hint="eastAsia" w:ascii="宋体" w:hAnsi="宋体" w:eastAsia="宋体"/>
                <w:szCs w:val="21"/>
                <w:lang w:val="en-US" w:eastAsia="zh-CN"/>
              </w:rPr>
            </w:pPr>
            <w:r>
              <w:rPr>
                <w:rFonts w:hint="eastAsia" w:ascii="宋体" w:hAnsi="宋体"/>
                <w:szCs w:val="21"/>
                <w:lang w:val="en-US" w:eastAsia="zh-CN"/>
              </w:rPr>
              <w:t>1</w:t>
            </w:r>
          </w:p>
        </w:tc>
        <w:tc>
          <w:tcPr>
            <w:tcW w:w="155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szCs w:val="21"/>
                <w:lang w:eastAsia="zh-CN"/>
              </w:rPr>
            </w:pPr>
            <w:r>
              <w:rPr>
                <w:rFonts w:ascii="宋体" w:hAnsi="宋体" w:eastAsia="宋体" w:cs="宋体"/>
                <w:sz w:val="24"/>
                <w:szCs w:val="24"/>
              </w:rPr>
              <w:t>631C0020</w:t>
            </w:r>
          </w:p>
        </w:tc>
        <w:tc>
          <w:tcPr>
            <w:tcW w:w="9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60" w:lineRule="exact"/>
              <w:ind w:firstLine="210" w:firstLineChars="100"/>
              <w:jc w:val="center"/>
              <w:textAlignment w:val="auto"/>
              <w:rPr>
                <w:rFonts w:hint="default" w:ascii="宋体" w:hAnsi="宋体" w:eastAsia="宋体"/>
                <w:szCs w:val="21"/>
                <w:lang w:val="en-US" w:eastAsia="zh-CN"/>
              </w:rPr>
            </w:pPr>
            <w:r>
              <w:rPr>
                <w:rFonts w:hint="eastAsia" w:ascii="宋体" w:hAnsi="宋体"/>
                <w:szCs w:val="21"/>
                <w:lang w:val="en-US" w:eastAsia="zh-CN"/>
              </w:rPr>
              <w:t>8</w:t>
            </w:r>
          </w:p>
        </w:tc>
        <w:tc>
          <w:tcPr>
            <w:tcW w:w="3675" w:type="dxa"/>
            <w:tcBorders>
              <w:top w:val="single" w:color="auto" w:sz="4" w:space="0"/>
              <w:left w:val="single" w:color="auto" w:sz="4" w:space="0"/>
              <w:bottom w:val="single" w:color="auto" w:sz="4" w:space="0"/>
              <w:right w:val="single" w:color="auto" w:sz="4" w:space="0"/>
            </w:tcBorders>
            <w:noWrap w:val="0"/>
            <w:vAlign w:val="center"/>
          </w:tcPr>
          <w:p>
            <w:pPr>
              <w:pStyle w:val="5"/>
              <w:numPr>
                <w:ilvl w:val="0"/>
                <w:numId w:val="0"/>
              </w:numPr>
              <w:jc w:val="center"/>
              <w:rPr>
                <w:rFonts w:hint="default" w:cs="Times New Roman"/>
                <w:kern w:val="2"/>
                <w:sz w:val="21"/>
                <w:szCs w:val="24"/>
                <w:lang w:val="en-US" w:eastAsia="zh-CN" w:bidi="ar-SA"/>
              </w:rPr>
            </w:pPr>
            <w:r>
              <w:rPr>
                <w:rFonts w:ascii="宋体" w:hAnsi="宋体" w:eastAsia="宋体" w:cs="宋体"/>
                <w:sz w:val="24"/>
                <w:szCs w:val="24"/>
              </w:rPr>
              <w:t>Vox</w:t>
            </w:r>
            <w:r>
              <w:rPr>
                <w:rFonts w:hint="eastAsia" w:ascii="宋体" w:hAnsi="宋体" w:eastAsia="宋体" w:cs="宋体"/>
                <w:sz w:val="24"/>
                <w:szCs w:val="24"/>
                <w:lang w:val="en-US" w:eastAsia="zh-CN"/>
              </w:rPr>
              <w:t xml:space="preserve"> </w:t>
            </w:r>
            <w:r>
              <w:rPr>
                <w:rFonts w:ascii="宋体" w:hAnsi="宋体" w:eastAsia="宋体" w:cs="宋体"/>
                <w:sz w:val="24"/>
                <w:szCs w:val="24"/>
              </w:rPr>
              <w:t>Sanguinis</w:t>
            </w:r>
            <w:r>
              <w:rPr>
                <w:rFonts w:hint="eastAsia" w:ascii="宋体" w:hAnsi="宋体" w:eastAsia="宋体" w:cs="宋体"/>
                <w:sz w:val="24"/>
                <w:szCs w:val="24"/>
                <w:lang w:val="en-US" w:eastAsia="zh-CN"/>
              </w:rPr>
              <w:t>.</w:t>
            </w:r>
          </w:p>
        </w:tc>
        <w:tc>
          <w:tcPr>
            <w:tcW w:w="1125" w:type="dxa"/>
            <w:tcBorders>
              <w:top w:val="single" w:color="auto" w:sz="4" w:space="0"/>
              <w:left w:val="single" w:color="auto" w:sz="4" w:space="0"/>
              <w:bottom w:val="single" w:color="auto" w:sz="4" w:space="0"/>
              <w:right w:val="single" w:color="auto" w:sz="4" w:space="0"/>
            </w:tcBorders>
            <w:noWrap w:val="0"/>
            <w:vAlign w:val="center"/>
          </w:tcPr>
          <w:p>
            <w:pPr>
              <w:pStyle w:val="5"/>
              <w:numPr>
                <w:ilvl w:val="0"/>
                <w:numId w:val="0"/>
              </w:num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1份</w:t>
            </w:r>
          </w:p>
        </w:tc>
        <w:tc>
          <w:tcPr>
            <w:tcW w:w="1377" w:type="dxa"/>
            <w:tcBorders>
              <w:top w:val="single" w:color="auto" w:sz="4" w:space="0"/>
              <w:left w:val="single" w:color="auto" w:sz="4" w:space="0"/>
              <w:bottom w:val="single" w:color="auto" w:sz="4" w:space="0"/>
              <w:right w:val="single" w:color="auto" w:sz="4" w:space="0"/>
            </w:tcBorders>
            <w:noWrap w:val="0"/>
            <w:vAlign w:val="center"/>
          </w:tcPr>
          <w:p>
            <w:pPr>
              <w:pStyle w:val="5"/>
              <w:numPr>
                <w:ilvl w:val="0"/>
                <w:numId w:val="0"/>
              </w:num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22500.00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27" w:hRule="atLeast"/>
          <w:jc w:val="center"/>
        </w:trPr>
        <w:tc>
          <w:tcPr>
            <w:tcW w:w="66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keepNext w:val="0"/>
              <w:keepLines w:val="0"/>
              <w:pageBreakBefore w:val="0"/>
              <w:kinsoku/>
              <w:wordWrap/>
              <w:overflowPunct/>
              <w:topLinePunct w:val="0"/>
              <w:bidi w:val="0"/>
              <w:spacing w:line="560" w:lineRule="exact"/>
              <w:jc w:val="center"/>
              <w:textAlignment w:val="auto"/>
              <w:rPr>
                <w:rFonts w:hint="default" w:ascii="宋体" w:hAnsi="宋体"/>
                <w:szCs w:val="21"/>
                <w:lang w:val="en-US" w:eastAsia="zh-CN"/>
              </w:rPr>
            </w:pPr>
            <w:r>
              <w:rPr>
                <w:rFonts w:hint="eastAsia" w:ascii="宋体" w:hAnsi="宋体"/>
                <w:szCs w:val="21"/>
                <w:lang w:val="en-US" w:eastAsia="zh-CN"/>
              </w:rPr>
              <w:t>2</w:t>
            </w:r>
          </w:p>
        </w:tc>
        <w:tc>
          <w:tcPr>
            <w:tcW w:w="155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60" w:lineRule="exact"/>
              <w:jc w:val="center"/>
              <w:textAlignment w:val="auto"/>
              <w:rPr>
                <w:rFonts w:hint="default" w:ascii="宋体" w:hAnsi="宋体" w:eastAsia="宋体"/>
                <w:szCs w:val="21"/>
                <w:lang w:val="en-US" w:eastAsia="zh-CN"/>
              </w:rPr>
            </w:pPr>
            <w:r>
              <w:rPr>
                <w:rFonts w:hint="eastAsia" w:ascii="宋体" w:hAnsi="宋体" w:cs="宋体"/>
                <w:sz w:val="24"/>
                <w:szCs w:val="24"/>
                <w:lang w:val="en-US" w:eastAsia="zh-CN"/>
              </w:rPr>
              <w:t>631B0052/IP</w:t>
            </w:r>
          </w:p>
        </w:tc>
        <w:tc>
          <w:tcPr>
            <w:tcW w:w="9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60" w:lineRule="exact"/>
              <w:ind w:firstLine="210" w:firstLineChars="100"/>
              <w:jc w:val="center"/>
              <w:textAlignment w:val="auto"/>
              <w:rPr>
                <w:rFonts w:hint="default" w:ascii="宋体" w:hAnsi="宋体"/>
                <w:szCs w:val="21"/>
                <w:lang w:val="en-US" w:eastAsia="zh-CN"/>
              </w:rPr>
            </w:pPr>
            <w:r>
              <w:rPr>
                <w:rFonts w:hint="eastAsia" w:ascii="宋体" w:hAnsi="宋体"/>
                <w:szCs w:val="21"/>
                <w:lang w:val="en-US" w:eastAsia="zh-CN"/>
              </w:rPr>
              <w:t>12</w:t>
            </w:r>
          </w:p>
        </w:tc>
        <w:tc>
          <w:tcPr>
            <w:tcW w:w="3675" w:type="dxa"/>
            <w:tcBorders>
              <w:top w:val="single" w:color="auto" w:sz="4" w:space="0"/>
              <w:left w:val="single" w:color="auto" w:sz="4" w:space="0"/>
              <w:bottom w:val="single" w:color="auto" w:sz="4" w:space="0"/>
              <w:right w:val="single" w:color="auto" w:sz="4" w:space="0"/>
            </w:tcBorders>
            <w:noWrap w:val="0"/>
            <w:vAlign w:val="center"/>
          </w:tcPr>
          <w:p>
            <w:pPr>
              <w:pStyle w:val="5"/>
              <w:jc w:val="center"/>
              <w:rPr>
                <w:rFonts w:hint="eastAsia" w:ascii="宋体" w:hAnsi="宋体" w:eastAsia="宋体" w:cs="宋体"/>
                <w:sz w:val="24"/>
                <w:szCs w:val="24"/>
                <w:lang w:val="en-US" w:eastAsia="zh-CN"/>
              </w:rPr>
            </w:pPr>
            <w:r>
              <w:rPr>
                <w:rFonts w:ascii="宋体" w:hAnsi="宋体" w:eastAsia="宋体" w:cs="宋体"/>
                <w:sz w:val="24"/>
                <w:szCs w:val="24"/>
              </w:rPr>
              <w:t>Transfusion</w:t>
            </w:r>
            <w:r>
              <w:rPr>
                <w:rFonts w:hint="eastAsia" w:ascii="宋体" w:hAnsi="宋体" w:eastAsia="宋体" w:cs="宋体"/>
                <w:sz w:val="24"/>
                <w:szCs w:val="24"/>
                <w:lang w:val="en-US" w:eastAsia="zh-CN"/>
              </w:rPr>
              <w:t xml:space="preserve">. </w:t>
            </w:r>
            <w:r>
              <w:rPr>
                <w:rFonts w:ascii="宋体" w:hAnsi="宋体" w:eastAsia="宋体" w:cs="宋体"/>
                <w:sz w:val="24"/>
                <w:szCs w:val="24"/>
              </w:rPr>
              <w:t>(print</w:t>
            </w:r>
            <w:r>
              <w:rPr>
                <w:rFonts w:hint="eastAsia" w:ascii="宋体" w:hAnsi="宋体" w:eastAsia="宋体" w:cs="宋体"/>
                <w:sz w:val="24"/>
                <w:szCs w:val="24"/>
                <w:lang w:val="en-US" w:eastAsia="zh-CN"/>
              </w:rPr>
              <w:t xml:space="preserve"> </w:t>
            </w:r>
            <w:r>
              <w:rPr>
                <w:rFonts w:ascii="宋体" w:hAnsi="宋体" w:eastAsia="宋体" w:cs="宋体"/>
                <w:sz w:val="24"/>
                <w:szCs w:val="24"/>
              </w:rPr>
              <w:t>and</w:t>
            </w:r>
            <w:r>
              <w:rPr>
                <w:rFonts w:hint="eastAsia" w:ascii="宋体" w:hAnsi="宋体" w:eastAsia="宋体" w:cs="宋体"/>
                <w:sz w:val="24"/>
                <w:szCs w:val="24"/>
                <w:lang w:val="en-US" w:eastAsia="zh-CN"/>
              </w:rPr>
              <w:t xml:space="preserve"> </w:t>
            </w:r>
            <w:r>
              <w:rPr>
                <w:rFonts w:ascii="宋体" w:hAnsi="宋体" w:eastAsia="宋体" w:cs="宋体"/>
                <w:sz w:val="24"/>
                <w:szCs w:val="24"/>
              </w:rPr>
              <w:t>online)</w:t>
            </w:r>
          </w:p>
        </w:tc>
        <w:tc>
          <w:tcPr>
            <w:tcW w:w="1125" w:type="dxa"/>
            <w:tcBorders>
              <w:top w:val="single" w:color="auto" w:sz="4" w:space="0"/>
              <w:left w:val="single" w:color="auto" w:sz="4" w:space="0"/>
              <w:bottom w:val="single" w:color="auto" w:sz="4" w:space="0"/>
              <w:right w:val="single" w:color="auto" w:sz="4" w:space="0"/>
            </w:tcBorders>
            <w:noWrap w:val="0"/>
            <w:vAlign w:val="center"/>
          </w:tcPr>
          <w:p>
            <w:pPr>
              <w:pStyle w:val="5"/>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1份</w:t>
            </w:r>
          </w:p>
        </w:tc>
        <w:tc>
          <w:tcPr>
            <w:tcW w:w="1377" w:type="dxa"/>
            <w:tcBorders>
              <w:top w:val="single" w:color="auto" w:sz="4" w:space="0"/>
              <w:left w:val="single" w:color="auto" w:sz="4" w:space="0"/>
              <w:bottom w:val="single" w:color="auto" w:sz="4" w:space="0"/>
              <w:right w:val="single" w:color="auto" w:sz="4" w:space="0"/>
            </w:tcBorders>
            <w:noWrap w:val="0"/>
            <w:vAlign w:val="center"/>
          </w:tcPr>
          <w:p>
            <w:pPr>
              <w:pStyle w:val="5"/>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27500.00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3200"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360" w:lineRule="exact"/>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预算总价</w:t>
            </w:r>
          </w:p>
          <w:p>
            <w:pPr>
              <w:keepNext w:val="0"/>
              <w:keepLines w:val="0"/>
              <w:pageBreakBefore w:val="0"/>
              <w:kinsoku/>
              <w:wordWrap/>
              <w:overflowPunct/>
              <w:topLinePunct w:val="0"/>
              <w:bidi w:val="0"/>
              <w:spacing w:line="560" w:lineRule="exact"/>
              <w:jc w:val="center"/>
              <w:textAlignment w:val="auto"/>
              <w:rPr>
                <w:rFonts w:hint="eastAsia" w:ascii="宋体" w:hAnsi="宋体"/>
                <w:szCs w:val="21"/>
                <w:lang w:val="en-US" w:eastAsia="zh-CN"/>
              </w:rPr>
            </w:pPr>
            <w:r>
              <w:rPr>
                <w:rFonts w:hint="eastAsia" w:ascii="宋体" w:hAnsi="宋体" w:eastAsia="宋体" w:cs="宋体"/>
                <w:color w:val="auto"/>
                <w:sz w:val="21"/>
                <w:szCs w:val="21"/>
                <w:lang w:val="en-US" w:eastAsia="zh-CN"/>
              </w:rPr>
              <w:t>合计（元）</w:t>
            </w:r>
          </w:p>
        </w:tc>
        <w:tc>
          <w:tcPr>
            <w:tcW w:w="6177"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60" w:lineRule="exact"/>
              <w:jc w:val="center"/>
              <w:textAlignment w:val="auto"/>
              <w:rPr>
                <w:rFonts w:hint="eastAsia" w:ascii="宋体" w:hAnsi="宋体"/>
                <w:szCs w:val="21"/>
              </w:rPr>
            </w:pPr>
            <w:r>
              <w:rPr>
                <w:rFonts w:hint="eastAsia" w:hAnsi="宋体"/>
                <w:bCs/>
                <w:color w:val="auto"/>
                <w:lang w:eastAsia="zh-CN"/>
              </w:rPr>
              <w:t>人民币伍万</w:t>
            </w:r>
            <w:r>
              <w:rPr>
                <w:rFonts w:hint="eastAsia" w:hAnsi="宋体"/>
                <w:bCs/>
                <w:color w:val="auto"/>
                <w:lang w:val="en-US" w:eastAsia="zh-CN"/>
              </w:rPr>
              <w:t>元</w:t>
            </w:r>
            <w:r>
              <w:rPr>
                <w:rFonts w:hint="eastAsia" w:hAnsi="宋体"/>
                <w:bCs/>
                <w:color w:val="auto"/>
                <w:lang w:eastAsia="zh-CN"/>
              </w:rPr>
              <w:t>整（</w:t>
            </w:r>
            <w:r>
              <w:rPr>
                <w:rFonts w:hint="eastAsia" w:hAnsi="宋体"/>
                <w:bCs/>
                <w:color w:val="auto"/>
                <w:lang w:val="en-US" w:eastAsia="zh-CN"/>
              </w:rPr>
              <w:t>¥50000.00</w:t>
            </w:r>
            <w:r>
              <w:rPr>
                <w:rFonts w:hint="eastAsia" w:hAnsi="宋体"/>
                <w:bCs/>
                <w:color w:val="auto"/>
                <w:lang w:eastAsia="zh-CN"/>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2" w:hRule="atLeast"/>
          <w:jc w:val="center"/>
        </w:trPr>
        <w:tc>
          <w:tcPr>
            <w:tcW w:w="66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keepNext w:val="0"/>
              <w:keepLines w:val="0"/>
              <w:pageBreakBefore w:val="0"/>
              <w:kinsoku/>
              <w:wordWrap/>
              <w:overflowPunct/>
              <w:topLinePunct w:val="0"/>
              <w:bidi w:val="0"/>
              <w:spacing w:line="560" w:lineRule="exact"/>
              <w:jc w:val="center"/>
              <w:textAlignment w:val="auto"/>
              <w:rPr>
                <w:rFonts w:hint="eastAsia" w:ascii="宋体" w:hAnsi="宋体" w:cs="宋体"/>
                <w:kern w:val="0"/>
              </w:rPr>
            </w:pPr>
            <w:r>
              <w:rPr>
                <w:rFonts w:hint="eastAsia" w:ascii="宋体" w:hAnsi="宋体" w:cs="宋体"/>
                <w:kern w:val="0"/>
              </w:rPr>
              <w:t>商务</w:t>
            </w:r>
          </w:p>
          <w:p>
            <w:pPr>
              <w:keepNext w:val="0"/>
              <w:keepLines w:val="0"/>
              <w:pageBreakBefore w:val="0"/>
              <w:kinsoku/>
              <w:wordWrap/>
              <w:overflowPunct/>
              <w:topLinePunct w:val="0"/>
              <w:bidi w:val="0"/>
              <w:spacing w:line="560" w:lineRule="exact"/>
              <w:jc w:val="center"/>
              <w:textAlignment w:val="auto"/>
              <w:rPr>
                <w:rFonts w:hint="eastAsia" w:ascii="宋体" w:hAnsi="宋体"/>
                <w:szCs w:val="21"/>
              </w:rPr>
            </w:pPr>
            <w:r>
              <w:rPr>
                <w:rFonts w:hint="eastAsia" w:ascii="宋体" w:hAnsi="宋体" w:cs="宋体"/>
                <w:kern w:val="0"/>
              </w:rPr>
              <w:t>条款</w:t>
            </w:r>
          </w:p>
        </w:tc>
        <w:tc>
          <w:tcPr>
            <w:tcW w:w="8714" w:type="dxa"/>
            <w:gridSpan w:val="5"/>
            <w:tcBorders>
              <w:top w:val="single" w:color="auto" w:sz="4" w:space="0"/>
              <w:left w:val="single" w:color="auto" w:sz="4" w:space="0"/>
              <w:bottom w:val="single" w:color="auto" w:sz="4" w:space="0"/>
              <w:right w:val="single" w:color="auto" w:sz="4" w:space="0"/>
            </w:tcBorders>
            <w:noWrap w:val="0"/>
            <w:vAlign w:val="center"/>
          </w:tcPr>
          <w:p>
            <w:pPr>
              <w:pStyle w:val="3"/>
              <w:numPr>
                <w:ilvl w:val="0"/>
                <w:numId w:val="2"/>
              </w:numPr>
              <w:bidi w:val="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合同签订期：自</w:t>
            </w:r>
            <w:r>
              <w:rPr>
                <w:rFonts w:hint="eastAsia" w:asciiTheme="minorEastAsia" w:hAnsiTheme="minorEastAsia" w:eastAsiaTheme="minorEastAsia" w:cstheme="minorEastAsia"/>
                <w:sz w:val="21"/>
                <w:szCs w:val="21"/>
                <w:lang w:eastAsia="zh-CN"/>
              </w:rPr>
              <w:t>中标公告</w:t>
            </w:r>
            <w:r>
              <w:rPr>
                <w:rFonts w:hint="eastAsia" w:asciiTheme="minorEastAsia" w:hAnsiTheme="minorEastAsia" w:eastAsiaTheme="minorEastAsia" w:cstheme="minorEastAsia"/>
                <w:sz w:val="21"/>
                <w:szCs w:val="21"/>
              </w:rPr>
              <w:t>发出之日起</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cstheme="minorEastAsia"/>
                <w:sz w:val="21"/>
                <w:szCs w:val="21"/>
                <w:lang w:val="en-US" w:eastAsia="zh-CN"/>
              </w:rPr>
              <w:t>15</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个工作日内。</w:t>
            </w:r>
          </w:p>
          <w:p>
            <w:pPr>
              <w:pStyle w:val="3"/>
              <w:numPr>
                <w:ilvl w:val="0"/>
                <w:numId w:val="2"/>
              </w:numPr>
              <w:bidi w:val="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交货期：</w:t>
            </w:r>
            <w:r>
              <w:rPr>
                <w:rFonts w:hint="eastAsia" w:asciiTheme="minorEastAsia" w:hAnsiTheme="minorEastAsia" w:eastAsiaTheme="minorEastAsia" w:cstheme="minorEastAsia"/>
                <w:sz w:val="21"/>
                <w:szCs w:val="21"/>
                <w:lang w:val="en-US" w:eastAsia="zh-CN"/>
              </w:rPr>
              <w:t xml:space="preserve">按照外文原版期刊出版的先后顺序进行交货，期刊出版到国内1个月内到货，2022年 </w:t>
            </w:r>
            <w:r>
              <w:rPr>
                <w:rFonts w:hint="eastAsia" w:asciiTheme="minorEastAsia" w:hAnsiTheme="minorEastAsia" w:eastAsiaTheme="minorEastAsia" w:cstheme="minorEastAsia"/>
                <w:sz w:val="21"/>
                <w:szCs w:val="21"/>
                <w:lang w:eastAsia="zh-CN"/>
              </w:rPr>
              <w:t>内供货完毕</w:t>
            </w:r>
            <w:r>
              <w:rPr>
                <w:rFonts w:hint="eastAsia" w:asciiTheme="minorEastAsia" w:hAnsiTheme="minorEastAsia" w:eastAsiaTheme="minorEastAsia" w:cstheme="minorEastAsia"/>
                <w:sz w:val="21"/>
                <w:szCs w:val="21"/>
              </w:rPr>
              <w:t>（按</w:t>
            </w:r>
            <w:r>
              <w:rPr>
                <w:rFonts w:hint="eastAsia" w:asciiTheme="minorEastAsia" w:hAnsiTheme="minorEastAsia" w:eastAsiaTheme="minorEastAsia" w:cstheme="minorEastAsia"/>
                <w:sz w:val="21"/>
                <w:szCs w:val="21"/>
                <w:lang w:eastAsia="zh-CN"/>
              </w:rPr>
              <w:t>南宁中心血站</w:t>
            </w:r>
            <w:r>
              <w:rPr>
                <w:rFonts w:hint="eastAsia" w:asciiTheme="minorEastAsia" w:hAnsiTheme="minorEastAsia" w:eastAsiaTheme="minorEastAsia" w:cstheme="minorEastAsia"/>
                <w:sz w:val="21"/>
                <w:szCs w:val="21"/>
              </w:rPr>
              <w:t>要求提供</w:t>
            </w:r>
            <w:r>
              <w:rPr>
                <w:rFonts w:hint="eastAsia" w:asciiTheme="minorEastAsia" w:hAnsiTheme="minorEastAsia" w:eastAsiaTheme="minorEastAsia" w:cstheme="minorEastAsia"/>
                <w:sz w:val="21"/>
                <w:szCs w:val="21"/>
                <w:lang w:eastAsia="zh-CN"/>
              </w:rPr>
              <w:t>期刊</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eastAsia="zh-CN"/>
              </w:rPr>
              <w:t>。</w:t>
            </w:r>
          </w:p>
          <w:p>
            <w:pPr>
              <w:pStyle w:val="3"/>
              <w:numPr>
                <w:ilvl w:val="0"/>
                <w:numId w:val="2"/>
              </w:numPr>
              <w:bidi w:val="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交货地点：</w:t>
            </w:r>
            <w:r>
              <w:rPr>
                <w:rFonts w:hint="eastAsia" w:asciiTheme="minorEastAsia" w:hAnsiTheme="minorEastAsia" w:eastAsiaTheme="minorEastAsia" w:cstheme="minorEastAsia"/>
                <w:sz w:val="21"/>
                <w:szCs w:val="21"/>
                <w:lang w:eastAsia="zh-CN"/>
              </w:rPr>
              <w:t>南宁中心血站</w:t>
            </w:r>
            <w:r>
              <w:rPr>
                <w:rFonts w:hint="eastAsia" w:asciiTheme="minorEastAsia" w:hAnsiTheme="minorEastAsia" w:eastAsiaTheme="minorEastAsia" w:cstheme="minorEastAsia"/>
                <w:sz w:val="21"/>
                <w:szCs w:val="21"/>
                <w:lang w:val="en-US" w:eastAsia="zh-CN"/>
              </w:rPr>
              <w:t>指</w:t>
            </w:r>
            <w:r>
              <w:rPr>
                <w:rFonts w:hint="eastAsia" w:asciiTheme="minorEastAsia" w:hAnsiTheme="minorEastAsia" w:eastAsiaTheme="minorEastAsia" w:cstheme="minorEastAsia"/>
                <w:sz w:val="21"/>
                <w:szCs w:val="21"/>
                <w:lang w:eastAsia="zh-CN"/>
              </w:rPr>
              <w:t>定地点。</w:t>
            </w:r>
            <w:r>
              <w:rPr>
                <w:rFonts w:hint="eastAsia" w:asciiTheme="minorEastAsia" w:hAnsiTheme="minorEastAsia" w:eastAsiaTheme="minorEastAsia" w:cstheme="minorEastAsia"/>
                <w:sz w:val="21"/>
                <w:szCs w:val="21"/>
              </w:rPr>
              <w:t xml:space="preserve"> </w:t>
            </w:r>
          </w:p>
          <w:p>
            <w:pPr>
              <w:pStyle w:val="3"/>
              <w:numPr>
                <w:ilvl w:val="0"/>
                <w:numId w:val="2"/>
              </w:numPr>
              <w:bidi w:val="0"/>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rPr>
              <w:t xml:space="preserve">交货方式： </w:t>
            </w:r>
            <w:r>
              <w:rPr>
                <w:rFonts w:hint="eastAsia" w:asciiTheme="minorEastAsia" w:hAnsiTheme="minorEastAsia" w:eastAsiaTheme="minorEastAsia" w:cstheme="minorEastAsia"/>
                <w:sz w:val="21"/>
                <w:szCs w:val="21"/>
                <w:lang w:eastAsia="zh-CN"/>
              </w:rPr>
              <w:t>现场交货</w:t>
            </w:r>
          </w:p>
          <w:p>
            <w:pPr>
              <w:pStyle w:val="3"/>
              <w:numPr>
                <w:ilvl w:val="0"/>
                <w:numId w:val="2"/>
              </w:numPr>
              <w:bidi w:val="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eastAsia="zh-CN"/>
              </w:rPr>
              <w:t>付款方式：</w:t>
            </w:r>
            <w:r>
              <w:rPr>
                <w:rFonts w:hint="eastAsia" w:asciiTheme="minorEastAsia" w:hAnsiTheme="minorEastAsia" w:eastAsiaTheme="minorEastAsia" w:cstheme="minorEastAsia"/>
                <w:sz w:val="21"/>
                <w:szCs w:val="21"/>
                <w:lang w:val="en-US" w:eastAsia="zh-CN"/>
              </w:rPr>
              <w:t>合同签订后一次性支付合同款（付款前中标人需提供等额合规的增值税普通发票）</w:t>
            </w:r>
            <w:r>
              <w:rPr>
                <w:rFonts w:hint="eastAsia" w:asciiTheme="minorEastAsia" w:hAnsiTheme="minorEastAsia" w:cstheme="minorEastAsia"/>
                <w:sz w:val="21"/>
                <w:szCs w:val="21"/>
                <w:lang w:val="en-US" w:eastAsia="zh-CN"/>
              </w:rPr>
              <w:t>。</w:t>
            </w:r>
          </w:p>
          <w:p>
            <w:pPr>
              <w:pStyle w:val="3"/>
              <w:numPr>
                <w:ilvl w:val="0"/>
                <w:numId w:val="2"/>
              </w:numPr>
              <w:bidi w:val="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质量保证及</w:t>
            </w:r>
            <w:r>
              <w:rPr>
                <w:rFonts w:hint="eastAsia" w:asciiTheme="minorEastAsia" w:hAnsiTheme="minorEastAsia" w:eastAsiaTheme="minorEastAsia" w:cstheme="minorEastAsia"/>
                <w:sz w:val="21"/>
                <w:szCs w:val="21"/>
              </w:rPr>
              <w:t xml:space="preserve">售后服务要求： </w:t>
            </w:r>
          </w:p>
          <w:p>
            <w:pPr>
              <w:pStyle w:val="3"/>
              <w:numPr>
                <w:ilvl w:val="0"/>
                <w:numId w:val="0"/>
              </w:numPr>
              <w:bidi w:val="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★1、版权要求：保证所有期刊均为全新正版</w:t>
            </w:r>
          </w:p>
          <w:p>
            <w:pPr>
              <w:pStyle w:val="3"/>
              <w:numPr>
                <w:ilvl w:val="0"/>
                <w:numId w:val="0"/>
              </w:numPr>
              <w:bidi w:val="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（1）中标人必须保证所提供期刊符合国家相关法律法规之规定，必须是出版的正版期刊，不得夹杂非法、盗版、盗印期刊。</w:t>
            </w:r>
          </w:p>
          <w:p>
            <w:pPr>
              <w:pStyle w:val="3"/>
              <w:numPr>
                <w:ilvl w:val="0"/>
                <w:numId w:val="0"/>
              </w:numPr>
              <w:bidi w:val="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（2）不得将特价期刊视作正价期刊混合供应。</w:t>
            </w:r>
          </w:p>
          <w:p>
            <w:pPr>
              <w:pStyle w:val="3"/>
              <w:numPr>
                <w:ilvl w:val="0"/>
                <w:numId w:val="0"/>
              </w:numPr>
              <w:bidi w:val="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（3）采购人在中华人民共和国境内使用成交供应商提供的货物及服务时免受第三方提出的侵犯其专利权或其它知识产权的起诉。如果第三方提出侵权指控，成交供应商应承担由此而引起的一切法律责任和费用。</w:t>
            </w:r>
          </w:p>
          <w:p>
            <w:pPr>
              <w:pStyle w:val="3"/>
              <w:numPr>
                <w:ilvl w:val="0"/>
                <w:numId w:val="0"/>
              </w:numPr>
              <w:bidi w:val="0"/>
              <w:rPr>
                <w:rFonts w:hint="eastAsia" w:ascii="宋体" w:hAnsi="宋体"/>
                <w:szCs w:val="21"/>
              </w:rPr>
            </w:pP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2、提供完善的退换货服务，污损、图文不清、缺页、倒页、缺少附件等质量不合格的期刊，一律予以退换，不能以种种原因为理由拒绝。</w:t>
            </w:r>
          </w:p>
        </w:tc>
      </w:tr>
    </w:tbl>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6C026F"/>
    <w:multiLevelType w:val="singleLevel"/>
    <w:tmpl w:val="C86C026F"/>
    <w:lvl w:ilvl="0" w:tentative="0">
      <w:start w:val="1"/>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6C6222"/>
    <w:rsid w:val="4C6C62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Plain Text"/>
    <w:basedOn w:val="1"/>
    <w:next w:val="2"/>
    <w:qFormat/>
    <w:uiPriority w:val="0"/>
    <w:rPr>
      <w:rFonts w:ascii="宋体" w:hAnsi="Courier New"/>
      <w:szCs w:val="20"/>
    </w:rPr>
  </w:style>
  <w:style w:type="paragraph" w:styleId="5">
    <w:name w:val="footer"/>
    <w:basedOn w:val="1"/>
    <w:unhideWhenUsed/>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2022-03-22T11:34:00Z</dcterms:created>
  <dc:creator>dell</dc:creator>
  <cp:lastModifiedBy>dell</cp:lastModifiedBy>
  <dcterms:modified xsi:type="dcterms:W3CDTF">2022-03-22T11:35:01Z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EBDFD45070C74B58887DE78C4D2BCE11</vt:lpwstr>
  </property>
</Properties>
</file>