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南宁中心血站采购项目基本情况及需求</w:t>
      </w:r>
    </w:p>
    <w:tbl>
      <w:tblPr>
        <w:tblStyle w:val="5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2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基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7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急救送血车车</w:t>
            </w:r>
          </w:p>
        </w:tc>
        <w:tc>
          <w:tcPr>
            <w:tcW w:w="72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辆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2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72.00万元</w:t>
            </w:r>
          </w:p>
        </w:tc>
        <w:tc>
          <w:tcPr>
            <w:tcW w:w="6450" w:type="dxa"/>
            <w:vAlign w:val="center"/>
          </w:tcPr>
          <w:p>
            <w:pPr>
              <w:spacing w:line="520" w:lineRule="exact"/>
              <w:jc w:val="left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采购用于急救送血、血液运输等用途的急救送血车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  <w:lang w:eastAsia="zh-CN"/>
              </w:rPr>
              <w:t>（配有警灯装置）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2台。要求知名品牌，</w:t>
            </w: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整车规格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（mm）</w:t>
            </w: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：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长≥5780；宽≥1970；高≥2690。排放标准为GB3847-2018,GB17691-2018国Ⅵ；驾驶座（主）安全气囊；</w:t>
            </w: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发动机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为</w:t>
            </w: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知名品牌。额定功率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不低于100KW</w:t>
            </w:r>
            <w:r>
              <w:rPr>
                <w:rFonts w:ascii="仿宋" w:hAnsi="仿宋" w:eastAsia="仿宋" w:cs="Times New Roman"/>
                <w:bCs/>
                <w:sz w:val="28"/>
                <w:szCs w:val="28"/>
              </w:rPr>
              <w:t>。</w:t>
            </w:r>
            <w:r>
              <w:rPr>
                <w:rFonts w:hint="eastAsia" w:ascii="仿宋" w:hAnsi="仿宋" w:eastAsia="仿宋" w:cs="Times New Roman"/>
                <w:bCs/>
                <w:sz w:val="28"/>
                <w:szCs w:val="28"/>
              </w:rPr>
              <w:t>发动机前置，后轮驱动。能及时响应售后服务；车辆采购后可按采购人要求设计外观。费用含车辆购置税、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8"/>
                <w:szCs w:val="28"/>
              </w:rPr>
              <w:t>上牌费用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8"/>
                <w:szCs w:val="28"/>
                <w:lang w:eastAsia="zh-CN"/>
              </w:rPr>
              <w:t>、车辆保险费用</w:t>
            </w:r>
            <w:r>
              <w:rPr>
                <w:rFonts w:hint="eastAsia" w:ascii="仿宋" w:hAnsi="仿宋" w:eastAsia="仿宋" w:cs="Times New Roman"/>
                <w:bCs/>
                <w:color w:val="auto"/>
                <w:sz w:val="28"/>
                <w:szCs w:val="28"/>
              </w:rPr>
              <w:t>，</w:t>
            </w:r>
            <w:r>
              <w:rPr>
                <w:rFonts w:hint="eastAsia" w:ascii="仿宋" w:hAnsi="仿宋" w:eastAsia="仿宋" w:cs="Times New Roman"/>
                <w:b/>
                <w:bCs w:val="0"/>
                <w:color w:val="auto"/>
                <w:sz w:val="28"/>
                <w:szCs w:val="28"/>
              </w:rPr>
              <w:t>且保证车辆能正常上牌入户。</w:t>
            </w:r>
          </w:p>
        </w:tc>
      </w:tr>
    </w:tbl>
    <w:p>
      <w:pPr>
        <w:spacing w:line="520" w:lineRule="exact"/>
        <w:jc w:val="left"/>
        <w:rPr>
          <w:rFonts w:ascii="仿宋" w:hAnsi="仿宋" w:eastAsia="仿宋" w:cs="Times New Roman"/>
          <w:b/>
          <w:bCs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7709C9"/>
    <w:rsid w:val="00500574"/>
    <w:rsid w:val="077709C9"/>
    <w:rsid w:val="1A0A46F2"/>
    <w:rsid w:val="31AD12BD"/>
    <w:rsid w:val="4170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268</Characters>
  <Lines>0</Lines>
  <Paragraphs>0</Paragraphs>
  <TotalTime>0</TotalTime>
  <ScaleCrop>false</ScaleCrop>
  <LinksUpToDate>false</LinksUpToDate>
  <CharactersWithSpaces>268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2022-04-12T07:46:00Z</dcterms:created>
  <dc:creator>WPS</dc:creator>
  <cp:lastModifiedBy>WPS</cp:lastModifiedBy>
  <dcterms:modified xsi:type="dcterms:W3CDTF">2022-04-12T07:58:19Z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47B962FDAE9A4B12B24C0293B92E244C</vt:lpwstr>
  </property>
</Properties>
</file>