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40元档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</w:p>
    <w:tbl>
      <w:tblPr>
        <w:tblStyle w:val="3"/>
        <w:tblW w:w="99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810"/>
        <w:gridCol w:w="1244"/>
        <w:gridCol w:w="6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9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9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注意：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1、40元档投递的纪念品的货物价值（市场零售价格，需提供商超内销售彩页图片或彩页佐证或能证明价格的材料）≥40元；</w:t>
      </w:r>
    </w:p>
    <w:p>
      <w:pPr>
        <w:pStyle w:val="2"/>
        <w:ind w:left="0" w:leftChars="0" w:firstLine="0" w:firstLineChars="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2、预算单价即实际支付40元可购买40元档内的纪念品；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22750"/>
    <w:rsid w:val="5D82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2022-04-21T07:48:00Z</dcterms:created>
  <dc:creator>WPS</dc:creator>
  <cp:lastModifiedBy>WPS</cp:lastModifiedBy>
  <dcterms:modified xsi:type="dcterms:W3CDTF">2022-04-21T07:48:29Z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3FCBAC103D9E4DAFB2A2ACF2092B930E</vt:lpwstr>
  </property>
</Properties>
</file>