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eastAsia="zh-CN"/>
        </w:rPr>
        <w:t>附件</w:t>
      </w:r>
      <w:r>
        <w:rPr>
          <w:rFonts w:hint="eastAsia" w:ascii="宋体" w:hAnsi="宋体" w:eastAsia="宋体" w:cs="宋体"/>
          <w:b w:val="0"/>
          <w:bCs/>
          <w:sz w:val="28"/>
          <w:szCs w:val="28"/>
          <w:lang w:val="en-US" w:eastAsia="zh-CN"/>
        </w:rPr>
        <w:t>2</w:t>
      </w:r>
    </w:p>
    <w:p>
      <w:pPr>
        <w:pStyle w:val="5"/>
        <w:spacing w:line="500" w:lineRule="exact"/>
        <w:jc w:val="center"/>
        <w:rPr>
          <w:rFonts w:hAnsi="宋体"/>
          <w:b/>
          <w:bCs/>
          <w:sz w:val="30"/>
          <w:szCs w:val="30"/>
        </w:rPr>
      </w:pPr>
      <w:r>
        <w:rPr>
          <w:rFonts w:hint="eastAsia" w:hAnsi="宋体"/>
          <w:b/>
          <w:bCs/>
          <w:sz w:val="30"/>
          <w:szCs w:val="30"/>
        </w:rPr>
        <w:t>响应技术资料表</w:t>
      </w:r>
    </w:p>
    <w:p>
      <w:pPr>
        <w:pStyle w:val="5"/>
        <w:ind w:firstLine="210" w:firstLineChars="100"/>
        <w:rPr>
          <w:rFonts w:hAnsi="宋体"/>
        </w:rPr>
      </w:pPr>
    </w:p>
    <w:p>
      <w:pPr>
        <w:pStyle w:val="5"/>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5"/>
        <w:rPr>
          <w:rFonts w:hAnsi="宋体"/>
          <w:szCs w:val="21"/>
        </w:rPr>
      </w:pPr>
    </w:p>
    <w:p>
      <w:pPr>
        <w:pStyle w:val="5"/>
        <w:rPr>
          <w:rFonts w:hAnsi="宋体"/>
          <w:szCs w:val="21"/>
        </w:rPr>
      </w:pPr>
      <w:r>
        <w:rPr>
          <w:rFonts w:hint="eastAsia" w:hAnsi="宋体"/>
          <w:szCs w:val="21"/>
          <w:u w:val="single"/>
        </w:rPr>
        <w:t>　　</w:t>
      </w:r>
      <w:r>
        <w:rPr>
          <w:rFonts w:hint="eastAsia" w:hAnsi="宋体"/>
          <w:szCs w:val="21"/>
        </w:rPr>
        <w:t>分项（有分项时填写）</w:t>
      </w:r>
    </w:p>
    <w:tbl>
      <w:tblPr>
        <w:tblStyle w:val="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086"/>
        <w:gridCol w:w="3218"/>
        <w:gridCol w:w="1013"/>
        <w:gridCol w:w="2491"/>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331" w:type="pct"/>
            <w:vMerge w:val="restart"/>
            <w:vAlign w:val="center"/>
          </w:tcPr>
          <w:p>
            <w:pPr>
              <w:pStyle w:val="5"/>
              <w:jc w:val="center"/>
              <w:rPr>
                <w:rFonts w:hAnsi="宋体"/>
                <w:spacing w:val="-20"/>
                <w:szCs w:val="21"/>
              </w:rPr>
            </w:pPr>
            <w:r>
              <w:rPr>
                <w:rFonts w:hint="eastAsia" w:hAnsi="宋体"/>
                <w:spacing w:val="-20"/>
                <w:szCs w:val="21"/>
              </w:rPr>
              <w:t>序号</w:t>
            </w:r>
          </w:p>
        </w:tc>
        <w:tc>
          <w:tcPr>
            <w:tcW w:w="2248" w:type="pct"/>
            <w:gridSpan w:val="2"/>
            <w:vAlign w:val="center"/>
          </w:tcPr>
          <w:p>
            <w:pPr>
              <w:jc w:val="center"/>
              <w:rPr>
                <w:rFonts w:ascii="宋体"/>
                <w:szCs w:val="21"/>
              </w:rPr>
            </w:pPr>
            <w:r>
              <w:rPr>
                <w:rFonts w:hint="eastAsia" w:ascii="宋体" w:hAnsi="宋体"/>
                <w:szCs w:val="21"/>
              </w:rPr>
              <w:t>采购文件需求</w:t>
            </w:r>
          </w:p>
        </w:tc>
        <w:tc>
          <w:tcPr>
            <w:tcW w:w="1830" w:type="pct"/>
            <w:gridSpan w:val="2"/>
            <w:vAlign w:val="center"/>
          </w:tcPr>
          <w:p>
            <w:pPr>
              <w:jc w:val="center"/>
              <w:rPr>
                <w:rFonts w:ascii="宋体"/>
                <w:szCs w:val="21"/>
              </w:rPr>
            </w:pPr>
            <w:r>
              <w:rPr>
                <w:rFonts w:hint="eastAsia" w:ascii="宋体" w:hAnsi="宋体"/>
                <w:szCs w:val="21"/>
              </w:rPr>
              <w:t>响应文件承诺</w:t>
            </w:r>
          </w:p>
        </w:tc>
        <w:tc>
          <w:tcPr>
            <w:tcW w:w="589" w:type="pct"/>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331" w:type="pct"/>
            <w:vMerge w:val="continue"/>
            <w:vAlign w:val="center"/>
          </w:tcPr>
          <w:p>
            <w:pPr>
              <w:pStyle w:val="5"/>
              <w:jc w:val="center"/>
              <w:rPr>
                <w:rFonts w:hAnsi="宋体"/>
                <w:spacing w:val="-20"/>
                <w:szCs w:val="21"/>
              </w:rPr>
            </w:pPr>
          </w:p>
        </w:tc>
        <w:tc>
          <w:tcPr>
            <w:tcW w:w="567" w:type="pct"/>
            <w:vAlign w:val="center"/>
          </w:tcPr>
          <w:p>
            <w:pPr>
              <w:jc w:val="center"/>
              <w:rPr>
                <w:rFonts w:ascii="宋体"/>
                <w:szCs w:val="21"/>
              </w:rPr>
            </w:pPr>
            <w:r>
              <w:rPr>
                <w:rFonts w:hint="eastAsia" w:ascii="宋体" w:hAnsi="宋体"/>
                <w:szCs w:val="21"/>
              </w:rPr>
              <w:t>项目名称</w:t>
            </w:r>
          </w:p>
        </w:tc>
        <w:tc>
          <w:tcPr>
            <w:tcW w:w="1681" w:type="pct"/>
            <w:vAlign w:val="center"/>
          </w:tcPr>
          <w:p>
            <w:pPr>
              <w:jc w:val="center"/>
              <w:rPr>
                <w:rFonts w:ascii="宋体"/>
                <w:szCs w:val="21"/>
              </w:rPr>
            </w:pPr>
            <w:r>
              <w:rPr>
                <w:rFonts w:hint="eastAsia" w:ascii="宋体" w:hAnsi="宋体"/>
                <w:szCs w:val="21"/>
              </w:rPr>
              <w:t>采购内容及要求</w:t>
            </w:r>
          </w:p>
        </w:tc>
        <w:tc>
          <w:tcPr>
            <w:tcW w:w="529" w:type="pct"/>
            <w:vAlign w:val="center"/>
          </w:tcPr>
          <w:p>
            <w:pPr>
              <w:jc w:val="center"/>
              <w:rPr>
                <w:rFonts w:ascii="宋体"/>
                <w:szCs w:val="21"/>
              </w:rPr>
            </w:pPr>
            <w:r>
              <w:rPr>
                <w:rFonts w:hint="eastAsia" w:ascii="宋体" w:hAnsi="宋体"/>
                <w:szCs w:val="21"/>
              </w:rPr>
              <w:t>服务名称</w:t>
            </w:r>
          </w:p>
        </w:tc>
        <w:tc>
          <w:tcPr>
            <w:tcW w:w="1300" w:type="pct"/>
            <w:vAlign w:val="center"/>
          </w:tcPr>
          <w:p>
            <w:pPr>
              <w:jc w:val="center"/>
              <w:rPr>
                <w:rFonts w:ascii="宋体"/>
                <w:szCs w:val="21"/>
              </w:rPr>
            </w:pPr>
            <w:r>
              <w:rPr>
                <w:rFonts w:hint="eastAsia" w:ascii="宋体" w:hAnsi="宋体"/>
                <w:szCs w:val="21"/>
              </w:rPr>
              <w:t>所提供服务的内容</w:t>
            </w:r>
          </w:p>
        </w:tc>
        <w:tc>
          <w:tcPr>
            <w:tcW w:w="589" w:type="pct"/>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 w:type="pct"/>
            <w:vAlign w:val="center"/>
          </w:tcPr>
          <w:p>
            <w:pPr>
              <w:pStyle w:val="5"/>
              <w:jc w:val="center"/>
              <w:rPr>
                <w:rFonts w:hAnsi="宋体"/>
                <w:spacing w:val="-20"/>
                <w:szCs w:val="21"/>
              </w:rPr>
            </w:pPr>
            <w:r>
              <w:rPr>
                <w:rFonts w:hAnsi="宋体"/>
                <w:spacing w:val="-20"/>
                <w:szCs w:val="21"/>
              </w:rPr>
              <w:t>1</w:t>
            </w:r>
          </w:p>
        </w:tc>
        <w:tc>
          <w:tcPr>
            <w:tcW w:w="567" w:type="pct"/>
            <w:vAlign w:val="center"/>
          </w:tcPr>
          <w:p>
            <w:pPr>
              <w:rPr>
                <w:rFonts w:hint="default" w:hAnsi="宋体"/>
                <w:szCs w:val="21"/>
                <w:lang w:val="en-US"/>
              </w:rPr>
            </w:pPr>
            <w:r>
              <w:rPr>
                <w:rFonts w:hint="eastAsia" w:ascii="宋体" w:hAnsi="宋体"/>
                <w:szCs w:val="21"/>
              </w:rPr>
              <w:t>南宁中心血站</w:t>
            </w:r>
            <w:r>
              <w:rPr>
                <w:rFonts w:hint="eastAsia" w:ascii="宋体" w:hAnsi="宋体"/>
                <w:szCs w:val="21"/>
                <w:lang w:val="en-US" w:eastAsia="zh-CN"/>
              </w:rPr>
              <w:t>2022年网络</w:t>
            </w:r>
            <w:r>
              <w:rPr>
                <w:rFonts w:hint="eastAsia" w:ascii="宋体" w:hAnsi="宋体"/>
                <w:szCs w:val="21"/>
              </w:rPr>
              <w:t>安全等级保护测评服务</w:t>
            </w:r>
          </w:p>
        </w:tc>
        <w:tc>
          <w:tcPr>
            <w:tcW w:w="1681" w:type="pct"/>
            <w:vAlign w:val="center"/>
          </w:tcPr>
          <w:p>
            <w:pPr>
              <w:pStyle w:val="3"/>
              <w:widowControl w:val="0"/>
              <w:numPr>
                <w:ilvl w:val="0"/>
                <w:numId w:val="0"/>
              </w:numPr>
              <w:spacing w:after="120"/>
              <w:jc w:val="both"/>
              <w:rPr>
                <w:rFonts w:hint="default"/>
                <w:lang w:val="en-US" w:eastAsia="zh-CN"/>
              </w:rPr>
            </w:pPr>
            <w:r>
              <w:rPr>
                <w:rFonts w:hint="eastAsia"/>
                <w:lang w:val="en-US" w:eastAsia="zh-CN"/>
              </w:rPr>
              <w:t>★一、</w:t>
            </w:r>
            <w:r>
              <w:rPr>
                <w:rFonts w:hint="default"/>
                <w:lang w:val="en-US" w:eastAsia="zh-CN"/>
              </w:rPr>
              <w:t>总的要求</w:t>
            </w:r>
            <w:r>
              <w:rPr>
                <w:rFonts w:hint="eastAsia"/>
                <w:lang w:val="en-US" w:eastAsia="zh-CN"/>
              </w:rPr>
              <w:t>：</w:t>
            </w:r>
          </w:p>
          <w:p>
            <w:pPr>
              <w:pStyle w:val="3"/>
              <w:widowControl w:val="0"/>
              <w:numPr>
                <w:ilvl w:val="0"/>
                <w:numId w:val="0"/>
              </w:numPr>
              <w:spacing w:after="120"/>
              <w:ind w:firstLine="420" w:firstLineChars="200"/>
              <w:jc w:val="both"/>
              <w:rPr>
                <w:rFonts w:hint="default"/>
                <w:lang w:val="en-US" w:eastAsia="zh-CN"/>
              </w:rPr>
            </w:pPr>
            <w:r>
              <w:rPr>
                <w:rFonts w:hint="default"/>
                <w:lang w:val="en-US" w:eastAsia="zh-CN"/>
              </w:rPr>
              <w:t>依据《信息安全技术—网络安全等级保护基本要求》（GB/T 22239-2019）对</w:t>
            </w:r>
            <w:r>
              <w:rPr>
                <w:rFonts w:hint="eastAsia"/>
                <w:lang w:val="en-US" w:eastAsia="zh-CN"/>
              </w:rPr>
              <w:t>南宁中心血站</w:t>
            </w:r>
            <w:r>
              <w:rPr>
                <w:rFonts w:hint="default"/>
                <w:lang w:val="en-US" w:eastAsia="zh-CN"/>
              </w:rPr>
              <w:t>采供血信息管理系统（三级）开展</w:t>
            </w:r>
            <w:r>
              <w:rPr>
                <w:rFonts w:hint="eastAsia"/>
                <w:lang w:val="en-US" w:eastAsia="zh-CN"/>
              </w:rPr>
              <w:t>网络</w:t>
            </w:r>
            <w:r>
              <w:rPr>
                <w:rFonts w:hint="default"/>
                <w:lang w:val="en-US" w:eastAsia="zh-CN"/>
              </w:rPr>
              <w:t>安全等级保护测评工作，并出具网络安全等级保护测评报告。</w:t>
            </w:r>
          </w:p>
          <w:p>
            <w:pPr>
              <w:pStyle w:val="3"/>
              <w:widowControl w:val="0"/>
              <w:numPr>
                <w:ilvl w:val="0"/>
                <w:numId w:val="0"/>
              </w:numPr>
              <w:spacing w:after="120"/>
              <w:jc w:val="both"/>
              <w:rPr>
                <w:rFonts w:hint="default"/>
                <w:lang w:val="en-US" w:eastAsia="zh-CN"/>
              </w:rPr>
            </w:pPr>
            <w:r>
              <w:rPr>
                <w:rFonts w:hint="eastAsia"/>
                <w:lang w:val="en-US" w:eastAsia="zh-CN"/>
              </w:rPr>
              <w:t>二、</w:t>
            </w:r>
            <w:r>
              <w:rPr>
                <w:rFonts w:hint="default"/>
                <w:lang w:val="en-US" w:eastAsia="zh-CN"/>
              </w:rPr>
              <w:t>标准依据</w:t>
            </w:r>
            <w:r>
              <w:rPr>
                <w:rFonts w:hint="eastAsia"/>
                <w:lang w:val="en-US" w:eastAsia="zh-CN"/>
              </w:rPr>
              <w:t>：</w:t>
            </w:r>
          </w:p>
          <w:p>
            <w:pPr>
              <w:pStyle w:val="3"/>
              <w:widowControl w:val="0"/>
              <w:numPr>
                <w:ilvl w:val="0"/>
                <w:numId w:val="2"/>
              </w:numPr>
              <w:spacing w:after="120"/>
              <w:ind w:left="420" w:leftChars="0" w:hanging="420" w:firstLineChars="0"/>
              <w:jc w:val="both"/>
              <w:rPr>
                <w:rFonts w:hint="default"/>
                <w:lang w:val="en-US" w:eastAsia="zh-CN"/>
              </w:rPr>
            </w:pPr>
            <w:r>
              <w:rPr>
                <w:rFonts w:hint="default"/>
                <w:lang w:val="en-US" w:eastAsia="zh-CN"/>
              </w:rPr>
              <w:t>《计算机信息系统安全保护等级划分准则》（GB 17859-1999)</w:t>
            </w:r>
          </w:p>
          <w:p>
            <w:pPr>
              <w:pStyle w:val="3"/>
              <w:widowControl w:val="0"/>
              <w:numPr>
                <w:ilvl w:val="0"/>
                <w:numId w:val="3"/>
              </w:numPr>
              <w:spacing w:after="120"/>
              <w:ind w:left="420" w:leftChars="0" w:hanging="420" w:firstLineChars="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网络安全等级保护基本要求》（GB/T 22239-2019）</w:t>
            </w:r>
          </w:p>
          <w:p>
            <w:pPr>
              <w:pStyle w:val="3"/>
              <w:widowControl w:val="0"/>
              <w:numPr>
                <w:ilvl w:val="0"/>
                <w:numId w:val="4"/>
              </w:numPr>
              <w:spacing w:after="120"/>
              <w:ind w:left="420" w:leftChars="0" w:hanging="420" w:firstLineChars="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网络安全等级保护测评要求》（GB/T 28448-2019）</w:t>
            </w:r>
          </w:p>
          <w:p>
            <w:pPr>
              <w:pStyle w:val="3"/>
              <w:widowControl w:val="0"/>
              <w:numPr>
                <w:ilvl w:val="0"/>
                <w:numId w:val="5"/>
              </w:numPr>
              <w:spacing w:after="120"/>
              <w:ind w:left="420" w:leftChars="0" w:hanging="420" w:firstLineChars="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网络安全等级保护测评过程指南》（GB/T 28449-2018)</w:t>
            </w:r>
          </w:p>
          <w:p>
            <w:pPr>
              <w:pStyle w:val="3"/>
              <w:widowControl w:val="0"/>
              <w:numPr>
                <w:ilvl w:val="0"/>
                <w:numId w:val="6"/>
              </w:numPr>
              <w:spacing w:after="120"/>
              <w:ind w:left="420" w:leftChars="0" w:hanging="420" w:firstLineChars="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w:t>
            </w:r>
            <w:r>
              <w:rPr>
                <w:rFonts w:hint="eastAsia"/>
                <w:lang w:val="en-US" w:eastAsia="zh-CN"/>
              </w:rPr>
              <w:t>安全</w:t>
            </w:r>
            <w:r>
              <w:rPr>
                <w:rFonts w:hint="default"/>
                <w:lang w:val="en-US" w:eastAsia="zh-CN"/>
              </w:rPr>
              <w:t>设计技术要求》（GB/T 25070-2019）</w:t>
            </w:r>
          </w:p>
          <w:p>
            <w:pPr>
              <w:pStyle w:val="3"/>
              <w:widowControl w:val="0"/>
              <w:numPr>
                <w:ilvl w:val="0"/>
                <w:numId w:val="7"/>
              </w:numPr>
              <w:spacing w:after="120"/>
              <w:ind w:left="420" w:leftChars="0" w:hanging="420" w:firstLineChars="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网络安全等级保护测试评估技术指南》（GB/T 36627-2018）</w:t>
            </w:r>
          </w:p>
          <w:p>
            <w:pPr>
              <w:pStyle w:val="3"/>
              <w:widowControl w:val="0"/>
              <w:numPr>
                <w:ilvl w:val="0"/>
                <w:numId w:val="0"/>
              </w:numPr>
              <w:spacing w:after="120"/>
              <w:jc w:val="both"/>
              <w:rPr>
                <w:rFonts w:hint="default"/>
                <w:lang w:val="en-US" w:eastAsia="zh-CN"/>
              </w:rPr>
            </w:pPr>
            <w:r>
              <w:rPr>
                <w:rFonts w:hint="eastAsia"/>
                <w:lang w:val="en-US" w:eastAsia="zh-CN"/>
              </w:rPr>
              <w:t>★三、</w:t>
            </w:r>
            <w:r>
              <w:rPr>
                <w:rFonts w:hint="default"/>
                <w:lang w:val="en-US" w:eastAsia="zh-CN"/>
              </w:rPr>
              <w:t>测评内容</w:t>
            </w:r>
            <w:r>
              <w:rPr>
                <w:rFonts w:hint="eastAsia"/>
                <w:lang w:val="en-US" w:eastAsia="zh-CN"/>
              </w:rPr>
              <w:t>：</w:t>
            </w:r>
          </w:p>
          <w:p>
            <w:pPr>
              <w:pStyle w:val="3"/>
              <w:widowControl w:val="0"/>
              <w:numPr>
                <w:ilvl w:val="0"/>
                <w:numId w:val="0"/>
              </w:numPr>
              <w:spacing w:after="120"/>
              <w:jc w:val="both"/>
              <w:rPr>
                <w:rFonts w:hint="default"/>
                <w:lang w:val="en-US" w:eastAsia="zh-CN"/>
              </w:rPr>
            </w:pPr>
            <w:r>
              <w:rPr>
                <w:rFonts w:hint="eastAsia"/>
                <w:lang w:val="en-US" w:eastAsia="zh-CN"/>
              </w:rPr>
              <w:t>1、</w:t>
            </w:r>
            <w:r>
              <w:rPr>
                <w:rFonts w:hint="default"/>
                <w:lang w:val="en-US" w:eastAsia="zh-CN"/>
              </w:rPr>
              <w:t>安全通用要求</w:t>
            </w:r>
            <w:r>
              <w:rPr>
                <w:rFonts w:hint="eastAsia"/>
                <w:lang w:val="en-US" w:eastAsia="zh-CN"/>
              </w:rPr>
              <w:t>：</w:t>
            </w:r>
          </w:p>
          <w:p>
            <w:pPr>
              <w:pStyle w:val="3"/>
              <w:widowControl w:val="0"/>
              <w:numPr>
                <w:ilvl w:val="0"/>
                <w:numId w:val="0"/>
              </w:numPr>
              <w:spacing w:after="120"/>
              <w:ind w:firstLine="420" w:firstLineChars="200"/>
              <w:jc w:val="both"/>
              <w:rPr>
                <w:rFonts w:hint="default"/>
                <w:lang w:val="en-US" w:eastAsia="zh-CN"/>
              </w:rPr>
            </w:pPr>
            <w:r>
              <w:rPr>
                <w:rFonts w:hint="default"/>
                <w:lang w:val="en-US" w:eastAsia="zh-CN"/>
              </w:rPr>
              <w:t>安全通用要求测评内容应包括安全技术和安全管理两大类，其中技术类应包括对安全物理环境、安全通信网络、安全区域边界、安全计算环境、安全管理中心五个方面的测评，安全管理类测评应包括对安全管理制度、安全管理机构、安全管理人员、安全建设管理、安全运维管理五个方面的测评。</w:t>
            </w:r>
          </w:p>
          <w:p>
            <w:pPr>
              <w:pStyle w:val="3"/>
              <w:widowControl w:val="0"/>
              <w:numPr>
                <w:ilvl w:val="0"/>
                <w:numId w:val="0"/>
              </w:numPr>
              <w:spacing w:after="120"/>
              <w:jc w:val="both"/>
              <w:rPr>
                <w:rFonts w:hint="default"/>
                <w:lang w:val="en-US" w:eastAsia="zh-CN"/>
              </w:rPr>
            </w:pPr>
            <w:r>
              <w:rPr>
                <w:rFonts w:hint="eastAsia"/>
                <w:lang w:val="en-US" w:eastAsia="zh-CN"/>
              </w:rPr>
              <w:t>2、</w:t>
            </w:r>
            <w:r>
              <w:rPr>
                <w:rFonts w:hint="default"/>
                <w:lang w:val="en-US" w:eastAsia="zh-CN"/>
              </w:rPr>
              <w:t>安全扩展要求</w:t>
            </w:r>
            <w:r>
              <w:rPr>
                <w:rFonts w:hint="eastAsia"/>
                <w:lang w:val="en-US" w:eastAsia="zh-CN"/>
              </w:rPr>
              <w:t>：</w:t>
            </w:r>
          </w:p>
          <w:p>
            <w:pPr>
              <w:pStyle w:val="3"/>
              <w:widowControl w:val="0"/>
              <w:numPr>
                <w:ilvl w:val="0"/>
                <w:numId w:val="0"/>
              </w:numPr>
              <w:spacing w:after="120"/>
              <w:ind w:firstLine="420" w:firstLineChars="200"/>
              <w:jc w:val="both"/>
              <w:rPr>
                <w:rFonts w:hint="eastAsia"/>
                <w:highlight w:val="yellow"/>
                <w:lang w:val="en-US" w:eastAsia="zh-CN"/>
              </w:rPr>
            </w:pPr>
            <w:r>
              <w:rPr>
                <w:rFonts w:hint="eastAsia"/>
                <w:lang w:val="en-US" w:eastAsia="zh-CN"/>
              </w:rPr>
              <w:t>应用了不同新技术的安全保护对象处于不同的应用场景中，面临不同的安全威胁，因此会有不同的安全需求，该保护对象涉及的安全扩展要求</w:t>
            </w:r>
            <w:r>
              <w:rPr>
                <w:rFonts w:hint="eastAsia"/>
                <w:highlight w:val="none"/>
                <w:lang w:val="en-US" w:eastAsia="zh-CN"/>
              </w:rPr>
              <w:t>包括：移动互联安全测评内容包括对安全物理环境、安全区域边界、安全计算环境、安全建设管理、安全运维管理等的测评。</w:t>
            </w:r>
          </w:p>
          <w:p>
            <w:pPr>
              <w:pStyle w:val="3"/>
              <w:widowControl w:val="0"/>
              <w:numPr>
                <w:ilvl w:val="0"/>
                <w:numId w:val="0"/>
              </w:numPr>
              <w:spacing w:after="120"/>
              <w:jc w:val="both"/>
              <w:rPr>
                <w:rFonts w:hint="default"/>
                <w:lang w:val="en-US" w:eastAsia="zh-CN"/>
              </w:rPr>
            </w:pPr>
            <w:r>
              <w:rPr>
                <w:rFonts w:hint="eastAsia"/>
                <w:lang w:val="en-US" w:eastAsia="zh-CN"/>
              </w:rPr>
              <w:t>四、</w:t>
            </w:r>
            <w:r>
              <w:rPr>
                <w:rFonts w:hint="default"/>
                <w:lang w:val="en-US" w:eastAsia="zh-CN"/>
              </w:rPr>
              <w:t>测评方法</w:t>
            </w:r>
            <w:r>
              <w:rPr>
                <w:rFonts w:hint="eastAsia"/>
                <w:lang w:val="en-US" w:eastAsia="zh-CN"/>
              </w:rPr>
              <w:t>：</w:t>
            </w:r>
          </w:p>
          <w:p>
            <w:pPr>
              <w:pStyle w:val="3"/>
              <w:widowControl w:val="0"/>
              <w:numPr>
                <w:ilvl w:val="0"/>
                <w:numId w:val="0"/>
              </w:numPr>
              <w:spacing w:after="120"/>
              <w:ind w:firstLine="420" w:firstLineChars="200"/>
              <w:jc w:val="both"/>
              <w:rPr>
                <w:rFonts w:hint="default"/>
                <w:lang w:val="en-US" w:eastAsia="zh-CN"/>
              </w:rPr>
            </w:pPr>
            <w:r>
              <w:rPr>
                <w:rFonts w:hint="default"/>
                <w:lang w:val="en-US" w:eastAsia="zh-CN"/>
              </w:rPr>
              <w:t>在测评实施过程中，应采用访谈、检查和测试、渗透测试等测评方法进行，并与国家相关规范及标准的要求相符。</w:t>
            </w:r>
            <w:r>
              <w:rPr>
                <w:rFonts w:hint="default"/>
                <w:lang w:val="en-US" w:eastAsia="zh-CN"/>
              </w:rPr>
              <w:br w:type="textWrapping"/>
            </w:r>
            <w:r>
              <w:rPr>
                <w:rFonts w:hint="eastAsia"/>
                <w:lang w:val="en-US" w:eastAsia="zh-CN"/>
              </w:rPr>
              <w:t xml:space="preserve">   （1）</w:t>
            </w:r>
            <w:r>
              <w:rPr>
                <w:rFonts w:hint="default"/>
                <w:lang w:val="en-US" w:eastAsia="zh-CN"/>
              </w:rPr>
              <w:t>访谈是指测评人员通过引导信息系统相关人员进行有目的的（有针对性的）交流以帮助测评人员理解、分析或取得证据的过程；</w:t>
            </w:r>
            <w:r>
              <w:rPr>
                <w:rFonts w:hint="default"/>
                <w:lang w:val="en-US" w:eastAsia="zh-CN"/>
              </w:rPr>
              <w:br w:type="textWrapping"/>
            </w:r>
            <w:r>
              <w:rPr>
                <w:rFonts w:hint="eastAsia"/>
                <w:lang w:val="en-US" w:eastAsia="zh-CN"/>
              </w:rPr>
              <w:t xml:space="preserve">   （2）</w:t>
            </w:r>
            <w:r>
              <w:rPr>
                <w:rFonts w:hint="default"/>
                <w:lang w:val="en-US" w:eastAsia="zh-CN"/>
              </w:rPr>
              <w:t>检查是指测评人员通过对测评对象（如管理制度、操作记录、安全配置等）进行观察、查验、分析以帮助测评人员理解、分析或取得证据的过程；</w:t>
            </w:r>
          </w:p>
          <w:p>
            <w:pPr>
              <w:pStyle w:val="3"/>
              <w:widowControl w:val="0"/>
              <w:numPr>
                <w:ilvl w:val="0"/>
                <w:numId w:val="0"/>
              </w:numPr>
              <w:spacing w:after="120"/>
              <w:ind w:firstLine="420" w:firstLineChars="200"/>
              <w:jc w:val="both"/>
              <w:rPr>
                <w:rFonts w:hint="default"/>
                <w:lang w:val="en-US" w:eastAsia="zh-CN"/>
              </w:rPr>
            </w:pPr>
            <w:r>
              <w:rPr>
                <w:rFonts w:hint="eastAsia"/>
                <w:lang w:val="en-US" w:eastAsia="zh-CN"/>
              </w:rPr>
              <w:t>（3）</w:t>
            </w:r>
            <w:r>
              <w:rPr>
                <w:rFonts w:hint="default"/>
                <w:lang w:val="en-US" w:eastAsia="zh-CN"/>
              </w:rPr>
              <w:t>测试是测评人员使用预定的方法/工具使测评对象产生特定的行为，通过查看和分析结果以帮助测评人员获取证据的过程；</w:t>
            </w:r>
          </w:p>
          <w:p>
            <w:pPr>
              <w:pStyle w:val="3"/>
              <w:widowControl w:val="0"/>
              <w:numPr>
                <w:ilvl w:val="0"/>
                <w:numId w:val="0"/>
              </w:numPr>
              <w:spacing w:after="120"/>
              <w:ind w:firstLine="420" w:firstLineChars="200"/>
              <w:jc w:val="both"/>
              <w:rPr>
                <w:rFonts w:hint="default"/>
                <w:lang w:val="en-US" w:eastAsia="zh-CN"/>
              </w:rPr>
            </w:pPr>
            <w:r>
              <w:rPr>
                <w:rFonts w:hint="eastAsia"/>
                <w:lang w:val="en-US" w:eastAsia="zh-CN"/>
              </w:rPr>
              <w:t>（4）</w:t>
            </w:r>
            <w:r>
              <w:rPr>
                <w:rFonts w:hint="default"/>
                <w:lang w:val="en-US" w:eastAsia="zh-CN"/>
              </w:rPr>
              <w:t>渗透测试是模拟黑客的攻击方法，对受保护对象的应用系统、主机、网络进行攻击，从而验证测评对象的弱点、技术缺陷或漏洞的一种评估方法。</w:t>
            </w:r>
          </w:p>
          <w:p>
            <w:pPr>
              <w:pStyle w:val="3"/>
              <w:widowControl w:val="0"/>
              <w:numPr>
                <w:ilvl w:val="0"/>
                <w:numId w:val="0"/>
              </w:numPr>
              <w:spacing w:after="120"/>
              <w:jc w:val="both"/>
              <w:rPr>
                <w:rFonts w:hint="default"/>
                <w:lang w:val="en-US" w:eastAsia="zh-CN"/>
              </w:rPr>
            </w:pPr>
            <w:r>
              <w:rPr>
                <w:rFonts w:hint="eastAsia"/>
                <w:lang w:val="en-US" w:eastAsia="zh-CN"/>
              </w:rPr>
              <w:t>★五、</w:t>
            </w:r>
            <w:r>
              <w:rPr>
                <w:rFonts w:hint="default"/>
                <w:lang w:val="en-US" w:eastAsia="zh-CN"/>
              </w:rPr>
              <w:t>服务成果</w:t>
            </w:r>
            <w:r>
              <w:rPr>
                <w:rFonts w:hint="eastAsia"/>
                <w:lang w:val="en-US" w:eastAsia="zh-CN"/>
              </w:rPr>
              <w:t>：</w:t>
            </w:r>
          </w:p>
          <w:p>
            <w:pPr>
              <w:pStyle w:val="3"/>
              <w:rPr>
                <w:rFonts w:hint="default"/>
                <w:lang w:val="en-US" w:eastAsia="zh-CN"/>
              </w:rPr>
            </w:pPr>
            <w:r>
              <w:rPr>
                <w:rFonts w:hint="default"/>
                <w:lang w:val="en-US" w:eastAsia="zh-CN"/>
              </w:rPr>
              <w:t>测评完成后，出具符合国家等保2.0相关技术标准要求、国家网络安全等级保护管理部门规范要求且公安机关认可的的网络安全等级保护测评报告。</w:t>
            </w:r>
          </w:p>
          <w:p>
            <w:pPr>
              <w:pStyle w:val="3"/>
              <w:widowControl w:val="0"/>
              <w:numPr>
                <w:ilvl w:val="0"/>
                <w:numId w:val="0"/>
              </w:numPr>
              <w:spacing w:after="120"/>
              <w:jc w:val="both"/>
              <w:rPr>
                <w:rFonts w:hint="eastAsia"/>
                <w:lang w:val="en-US" w:eastAsia="zh-CN"/>
              </w:rPr>
            </w:pPr>
            <w:r>
              <w:rPr>
                <w:rFonts w:hint="eastAsia"/>
                <w:lang w:val="en-US" w:eastAsia="zh-CN"/>
              </w:rPr>
              <w:t>六、其他要求：</w:t>
            </w:r>
            <w:r>
              <w:rPr>
                <w:rFonts w:hint="eastAsia"/>
                <w:lang w:val="en-US" w:eastAsia="zh-CN"/>
              </w:rPr>
              <w:br w:type="textWrapping"/>
            </w:r>
            <w:r>
              <w:rPr>
                <w:rFonts w:hint="eastAsia"/>
                <w:lang w:val="en-US" w:eastAsia="zh-CN"/>
              </w:rPr>
              <w:t>1、投标人针对本项目提供技术、实施、售后服务方案；</w:t>
            </w:r>
          </w:p>
          <w:p>
            <w:pPr>
              <w:pStyle w:val="3"/>
              <w:widowControl w:val="0"/>
              <w:numPr>
                <w:ilvl w:val="0"/>
                <w:numId w:val="0"/>
              </w:numPr>
              <w:spacing w:after="120"/>
              <w:jc w:val="both"/>
              <w:rPr>
                <w:rFonts w:hint="eastAsia"/>
                <w:lang w:val="en-US" w:eastAsia="zh-CN"/>
              </w:rPr>
            </w:pPr>
            <w:r>
              <w:rPr>
                <w:rFonts w:hint="eastAsia"/>
                <w:lang w:val="en-US" w:eastAsia="zh-CN"/>
              </w:rPr>
              <w:t>2、本项目测评投入实施人员名单及资质证明材料（内容包含姓名、身份证号码、人员资质等级）；</w:t>
            </w:r>
          </w:p>
          <w:p>
            <w:pPr>
              <w:pStyle w:val="3"/>
              <w:rPr>
                <w:rFonts w:hint="default"/>
                <w:lang w:val="en-US" w:eastAsia="zh-CN"/>
              </w:rPr>
            </w:pPr>
            <w:r>
              <w:rPr>
                <w:rFonts w:hint="eastAsia"/>
                <w:lang w:val="en-US" w:eastAsia="zh-CN"/>
              </w:rPr>
              <w:t>3、</w:t>
            </w:r>
            <w:r>
              <w:rPr>
                <w:rFonts w:hint="default"/>
                <w:lang w:val="en-US" w:eastAsia="zh-CN"/>
              </w:rPr>
              <w:t>网络安全等级保护测评服务案例，如有请提供</w:t>
            </w:r>
            <w:r>
              <w:rPr>
                <w:rFonts w:hint="eastAsia"/>
                <w:lang w:val="en-US" w:eastAsia="zh-CN"/>
              </w:rPr>
              <w:t>。</w:t>
            </w:r>
          </w:p>
        </w:tc>
        <w:tc>
          <w:tcPr>
            <w:tcW w:w="529" w:type="pct"/>
            <w:vAlign w:val="center"/>
          </w:tcPr>
          <w:p>
            <w:pPr>
              <w:rPr>
                <w:rFonts w:hint="default" w:hAnsi="宋体"/>
                <w:szCs w:val="21"/>
                <w:lang w:val="en-US"/>
              </w:rPr>
            </w:pPr>
            <w:r>
              <w:rPr>
                <w:rFonts w:hint="eastAsia" w:ascii="宋体" w:hAnsi="宋体"/>
                <w:szCs w:val="21"/>
              </w:rPr>
              <w:t>南宁中心血站</w:t>
            </w:r>
            <w:r>
              <w:rPr>
                <w:rFonts w:hint="eastAsia" w:ascii="宋体" w:hAnsi="宋体"/>
                <w:szCs w:val="21"/>
                <w:lang w:val="en-US" w:eastAsia="zh-CN"/>
              </w:rPr>
              <w:t>2022年网络</w:t>
            </w:r>
            <w:r>
              <w:rPr>
                <w:rFonts w:hint="eastAsia" w:ascii="宋体" w:hAnsi="宋体"/>
                <w:szCs w:val="21"/>
              </w:rPr>
              <w:t>安全等级保护测评服务</w:t>
            </w:r>
          </w:p>
        </w:tc>
        <w:tc>
          <w:tcPr>
            <w:tcW w:w="1300" w:type="pct"/>
            <w:vAlign w:val="center"/>
          </w:tcPr>
          <w:p>
            <w:pPr>
              <w:rPr>
                <w:rFonts w:hAnsi="宋体"/>
                <w:szCs w:val="21"/>
              </w:rPr>
            </w:pPr>
            <w:r>
              <w:rPr>
                <w:rFonts w:hint="eastAsia" w:asciiTheme="minorEastAsia" w:hAnsiTheme="minorEastAsia" w:cstheme="minorEastAsia"/>
                <w:color w:val="FF0000"/>
                <w:szCs w:val="21"/>
              </w:rPr>
              <w:t>请填入贵单位</w:t>
            </w:r>
            <w:bookmarkStart w:id="2" w:name="_GoBack"/>
            <w:bookmarkEnd w:id="2"/>
            <w:r>
              <w:rPr>
                <w:rFonts w:hint="eastAsia" w:asciiTheme="minorEastAsia" w:hAnsiTheme="minorEastAsia" w:cstheme="minorEastAsia"/>
                <w:color w:val="FF0000"/>
                <w:szCs w:val="21"/>
              </w:rPr>
              <w:t>响应的内容。</w:t>
            </w:r>
          </w:p>
        </w:tc>
        <w:tc>
          <w:tcPr>
            <w:tcW w:w="589" w:type="pct"/>
            <w:vAlign w:val="center"/>
          </w:tcPr>
          <w:p>
            <w:pPr>
              <w:rPr>
                <w:rFonts w:ascii="宋体" w:hAnsi="宋体"/>
                <w:szCs w:val="21"/>
              </w:rPr>
            </w:pPr>
            <w:r>
              <w:rPr>
                <w:rFonts w:ascii="宋体" w:hAnsi="宋体"/>
                <w:szCs w:val="21"/>
              </w:rPr>
              <w:t>正偏离（负偏离或无偏离）</w:t>
            </w:r>
          </w:p>
        </w:tc>
      </w:tr>
    </w:tbl>
    <w:p>
      <w:pPr>
        <w:pStyle w:val="5"/>
        <w:rPr>
          <w:rFonts w:hAnsi="宋体"/>
          <w:szCs w:val="21"/>
        </w:rPr>
      </w:pPr>
    </w:p>
    <w:p>
      <w:pPr>
        <w:pStyle w:val="5"/>
        <w:rPr>
          <w:rFonts w:hAnsi="宋体"/>
          <w:szCs w:val="21"/>
        </w:rPr>
      </w:pPr>
      <w:r>
        <w:rPr>
          <w:rFonts w:hint="eastAsia" w:hAnsi="宋体"/>
          <w:szCs w:val="21"/>
          <w:u w:val="single"/>
        </w:rPr>
        <w:t>　　</w:t>
      </w:r>
      <w:r>
        <w:rPr>
          <w:rFonts w:hint="eastAsia" w:hAnsi="宋体"/>
          <w:szCs w:val="21"/>
        </w:rPr>
        <w:t>分项（有分项时填写）</w:t>
      </w:r>
    </w:p>
    <w:p>
      <w:pPr>
        <w:pStyle w:val="5"/>
        <w:rPr>
          <w:rFonts w:hAnsi="宋体"/>
          <w:szCs w:val="21"/>
        </w:rPr>
      </w:pPr>
    </w:p>
    <w:p>
      <w:pPr>
        <w:pStyle w:val="5"/>
        <w:rPr>
          <w:rFonts w:hAnsi="宋体"/>
          <w:szCs w:val="21"/>
        </w:rPr>
      </w:pPr>
    </w:p>
    <w:p>
      <w:pPr>
        <w:pStyle w:val="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5"/>
        <w:spacing w:line="400" w:lineRule="exact"/>
        <w:ind w:left="689" w:leftChars="228" w:hanging="210" w:hangingChars="100"/>
        <w:rPr>
          <w:rFonts w:hAnsi="宋体"/>
          <w:sz w:val="24"/>
          <w:szCs w:val="24"/>
        </w:rPr>
      </w:pPr>
      <w:r>
        <w:rPr>
          <w:rFonts w:hAnsi="宋体"/>
          <w:bCs/>
          <w:szCs w:val="21"/>
        </w:rPr>
        <w:t>⑵当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5"/>
        <w:spacing w:line="400" w:lineRule="exact"/>
        <w:rPr>
          <w:rFonts w:hAnsi="宋体"/>
          <w:szCs w:val="21"/>
        </w:rPr>
      </w:pPr>
      <w:r>
        <w:rPr>
          <w:rFonts w:hint="eastAsia" w:hAnsi="宋体"/>
          <w:szCs w:val="21"/>
          <w:lang w:eastAsia="zh-CN"/>
        </w:rPr>
        <w:t>供应商</w:t>
      </w:r>
      <w:r>
        <w:rPr>
          <w:rFonts w:hint="eastAsia" w:hAnsi="宋体"/>
          <w:szCs w:val="21"/>
        </w:rPr>
        <w:t>（盖单位公章）：</w:t>
      </w:r>
    </w:p>
    <w:p>
      <w:pPr>
        <w:pStyle w:val="2"/>
        <w:numPr>
          <w:ilvl w:val="3"/>
          <w:numId w:val="0"/>
        </w:numPr>
        <w:ind w:left="1077"/>
      </w:pPr>
    </w:p>
    <w:p>
      <w:pPr>
        <w:pStyle w:val="5"/>
        <w:spacing w:line="400" w:lineRule="exact"/>
        <w:rPr>
          <w:rFonts w:hAnsi="宋体"/>
          <w:szCs w:val="21"/>
        </w:rPr>
      </w:pPr>
      <w:bookmarkStart w:id="0" w:name="_Toc460253713"/>
      <w:bookmarkStart w:id="1" w:name="_Toc521096352"/>
      <w:r>
        <w:rPr>
          <w:rFonts w:hint="eastAsia" w:hAnsi="宋体"/>
          <w:szCs w:val="21"/>
        </w:rPr>
        <w:t>法定代表人或其委托代理人（签字或盖章）：</w:t>
      </w:r>
      <w:bookmarkEnd w:id="0"/>
      <w:bookmarkEnd w:id="1"/>
    </w:p>
    <w:p>
      <w:pPr>
        <w:pStyle w:val="5"/>
        <w:spacing w:line="400" w:lineRule="exact"/>
        <w:rPr>
          <w:rFonts w:hAnsi="宋体"/>
          <w:szCs w:val="21"/>
        </w:rPr>
      </w:pPr>
    </w:p>
    <w:p/>
    <w:p>
      <w:pPr>
        <w:pStyle w:val="5"/>
        <w:jc w:val="left"/>
        <w:rPr>
          <w:rFonts w:hint="eastAsia"/>
          <w:b/>
          <w:sz w:val="32"/>
          <w:lang w:val="en-US" w:eastAsia="zh-CN"/>
        </w:rPr>
      </w:pPr>
    </w:p>
    <w:p>
      <w:pPr>
        <w:pStyle w:val="5"/>
        <w:jc w:val="left"/>
        <w:rPr>
          <w:rFonts w:hint="eastAsia"/>
          <w:b/>
          <w:sz w:val="32"/>
          <w:lang w:val="en-US" w:eastAsia="zh-CN"/>
        </w:rPr>
      </w:pPr>
    </w:p>
    <w:p>
      <w:pPr>
        <w:pStyle w:val="5"/>
        <w:jc w:val="left"/>
        <w:rPr>
          <w:rFonts w:hint="eastAsia"/>
          <w:b/>
          <w:sz w:val="32"/>
          <w:lang w:val="en-US" w:eastAsia="zh-CN"/>
        </w:rPr>
      </w:pPr>
    </w:p>
    <w:p>
      <w:pPr>
        <w:pStyle w:val="5"/>
        <w:jc w:val="left"/>
        <w:rPr>
          <w:rFonts w:hint="eastAsia"/>
          <w:b/>
          <w:sz w:val="32"/>
          <w:lang w:val="en-US" w:eastAsia="zh-CN"/>
        </w:rPr>
      </w:pPr>
      <w:r>
        <w:rPr>
          <w:rFonts w:hint="eastAsia"/>
          <w:b/>
          <w:sz w:val="32"/>
          <w:lang w:val="en-US" w:eastAsia="zh-CN"/>
        </w:rPr>
        <w:t xml:space="preserve"> </w:t>
      </w:r>
    </w:p>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8BCB39"/>
    <w:multiLevelType w:val="singleLevel"/>
    <w:tmpl w:val="C18BCB39"/>
    <w:lvl w:ilvl="0" w:tentative="0">
      <w:start w:val="1"/>
      <w:numFmt w:val="bullet"/>
      <w:lvlText w:val=""/>
      <w:lvlJc w:val="left"/>
      <w:pPr>
        <w:ind w:left="420" w:hanging="420"/>
      </w:pPr>
      <w:rPr>
        <w:rFonts w:hint="default" w:ascii="Wingdings" w:hAnsi="Wingdings"/>
      </w:rPr>
    </w:lvl>
  </w:abstractNum>
  <w:abstractNum w:abstractNumId="1">
    <w:nsid w:val="C2C6DE0C"/>
    <w:multiLevelType w:val="singleLevel"/>
    <w:tmpl w:val="C2C6DE0C"/>
    <w:lvl w:ilvl="0" w:tentative="0">
      <w:start w:val="1"/>
      <w:numFmt w:val="bullet"/>
      <w:lvlText w:val=""/>
      <w:lvlJc w:val="left"/>
      <w:pPr>
        <w:ind w:left="420" w:hanging="420"/>
      </w:pPr>
      <w:rPr>
        <w:rFonts w:hint="default" w:ascii="Wingdings" w:hAnsi="Wingdings"/>
      </w:rPr>
    </w:lvl>
  </w:abstractNum>
  <w:abstractNum w:abstractNumId="2">
    <w:nsid w:val="CE5EAA19"/>
    <w:multiLevelType w:val="singleLevel"/>
    <w:tmpl w:val="CE5EAA19"/>
    <w:lvl w:ilvl="0" w:tentative="0">
      <w:start w:val="1"/>
      <w:numFmt w:val="bullet"/>
      <w:lvlText w:val=""/>
      <w:lvlJc w:val="left"/>
      <w:pPr>
        <w:ind w:left="420" w:hanging="420"/>
      </w:pPr>
      <w:rPr>
        <w:rFonts w:hint="default" w:ascii="Wingdings" w:hAnsi="Wingdings"/>
      </w:rPr>
    </w:lvl>
  </w:abstractNum>
  <w:abstractNum w:abstractNumId="3">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4">
    <w:nsid w:val="0D4ECC86"/>
    <w:multiLevelType w:val="singleLevel"/>
    <w:tmpl w:val="0D4ECC86"/>
    <w:lvl w:ilvl="0" w:tentative="0">
      <w:start w:val="1"/>
      <w:numFmt w:val="bullet"/>
      <w:lvlText w:val=""/>
      <w:lvlJc w:val="left"/>
      <w:pPr>
        <w:ind w:left="420" w:hanging="420"/>
      </w:pPr>
      <w:rPr>
        <w:rFonts w:hint="default" w:ascii="Wingdings" w:hAnsi="Wingdings"/>
      </w:rPr>
    </w:lvl>
  </w:abstractNum>
  <w:abstractNum w:abstractNumId="5">
    <w:nsid w:val="4A7ADB7E"/>
    <w:multiLevelType w:val="singleLevel"/>
    <w:tmpl w:val="4A7ADB7E"/>
    <w:lvl w:ilvl="0" w:tentative="0">
      <w:start w:val="1"/>
      <w:numFmt w:val="bullet"/>
      <w:lvlText w:val=""/>
      <w:lvlJc w:val="left"/>
      <w:pPr>
        <w:ind w:left="420" w:hanging="420"/>
      </w:pPr>
      <w:rPr>
        <w:rFonts w:hint="default" w:ascii="Wingdings" w:hAnsi="Wingdings"/>
      </w:rPr>
    </w:lvl>
  </w:abstractNum>
  <w:abstractNum w:abstractNumId="6">
    <w:nsid w:val="7197ACEF"/>
    <w:multiLevelType w:val="singleLevel"/>
    <w:tmpl w:val="7197ACEF"/>
    <w:lvl w:ilvl="0" w:tentative="0">
      <w:start w:val="1"/>
      <w:numFmt w:val="bullet"/>
      <w:lvlText w:val=""/>
      <w:lvlJc w:val="left"/>
      <w:pPr>
        <w:ind w:left="420" w:hanging="420"/>
      </w:pPr>
      <w:rPr>
        <w:rFonts w:hint="default" w:ascii="Wingdings" w:hAnsi="Wingdings"/>
      </w:rPr>
    </w:lvl>
  </w:abstractNum>
  <w:num w:numId="1">
    <w:abstractNumId w:val="3"/>
  </w:num>
  <w:num w:numId="2">
    <w:abstractNumId w:val="0"/>
  </w:num>
  <w:num w:numId="3">
    <w:abstractNumId w:val="4"/>
  </w:num>
  <w:num w:numId="4">
    <w:abstractNumId w:val="1"/>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DA5C15"/>
    <w:rsid w:val="6ADA5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Body Text Indent"/>
    <w:basedOn w:val="1"/>
    <w:qFormat/>
    <w:uiPriority w:val="0"/>
    <w:pPr>
      <w:spacing w:line="200" w:lineRule="exact"/>
      <w:ind w:firstLine="301"/>
    </w:pPr>
    <w:rPr>
      <w:rFonts w:ascii="宋体" w:hAnsi="Courier New"/>
      <w:spacing w:val="-4"/>
      <w:sz w:val="18"/>
      <w:szCs w:val="20"/>
    </w:rPr>
  </w:style>
  <w:style w:type="paragraph" w:styleId="5">
    <w:name w:val="Plain Text"/>
    <w:basedOn w:val="1"/>
    <w:next w:val="2"/>
    <w:qFormat/>
    <w:uiPriority w:val="0"/>
    <w:rPr>
      <w:rFonts w:ascii="宋体" w:hAnsi="Courier New"/>
      <w:szCs w:val="20"/>
    </w:rPr>
  </w:style>
  <w:style w:type="paragraph" w:styleId="6">
    <w:name w:val="Body Text First Indent 2"/>
    <w:basedOn w:val="4"/>
    <w:next w:val="1"/>
    <w:qFormat/>
    <w:uiPriority w:val="0"/>
    <w:pPr>
      <w:spacing w:line="360" w:lineRule="auto"/>
      <w:ind w:firstLine="0"/>
    </w:pPr>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2022-04-24T09:49:00Z</dcterms:created>
  <dc:creator>WPS</dc:creator>
  <cp:lastModifiedBy>WPS</cp:lastModifiedBy>
  <dcterms:modified xsi:type="dcterms:W3CDTF">2022-04-24T09:50:11Z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74A62C1BDB0A4EBD9DE3D3D0A4B5EAB0</vt:lpwstr>
  </property>
</Properties>
</file>