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20" w:lineRule="exact"/>
        <w:rPr>
          <w:sz w:val="30"/>
          <w:szCs w:val="30"/>
          <w:highlight w:val="none"/>
        </w:rPr>
      </w:pPr>
      <w:r>
        <w:rPr>
          <w:rFonts w:hint="eastAsia" w:ascii="仿宋" w:hAnsi="仿宋" w:eastAsia="仿宋"/>
          <w:b/>
          <w:bCs/>
          <w:sz w:val="30"/>
          <w:szCs w:val="30"/>
          <w:highlight w:val="none"/>
        </w:rPr>
        <w:t>附件1</w:t>
      </w:r>
    </w:p>
    <w:p>
      <w:pPr>
        <w:spacing w:line="520" w:lineRule="exact"/>
        <w:ind w:firstLine="602" w:firstLineChars="200"/>
        <w:jc w:val="center"/>
        <w:rPr>
          <w:rFonts w:ascii="仿宋" w:hAnsi="仿宋" w:eastAsia="仿宋"/>
          <w:b/>
          <w:bCs/>
          <w:sz w:val="30"/>
          <w:szCs w:val="30"/>
          <w:highlight w:val="none"/>
        </w:rPr>
      </w:pPr>
      <w:bookmarkStart w:id="0" w:name="_GoBack"/>
      <w:r>
        <w:rPr>
          <w:rFonts w:hint="eastAsia" w:ascii="仿宋" w:hAnsi="仿宋" w:eastAsia="仿宋"/>
          <w:b/>
          <w:bCs/>
          <w:sz w:val="30"/>
          <w:szCs w:val="30"/>
          <w:highlight w:val="none"/>
        </w:rPr>
        <w:t>南宁中心血站采购项目基本情况及需求</w:t>
      </w:r>
      <w:bookmarkEnd w:id="0"/>
    </w:p>
    <w:tbl>
      <w:tblPr>
        <w:tblStyle w:val="4"/>
        <w:tblpPr w:leftFromText="180" w:rightFromText="180" w:vertAnchor="text" w:horzAnchor="page" w:tblpX="674" w:tblpY="173"/>
        <w:tblOverlap w:val="never"/>
        <w:tblW w:w="108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0"/>
        <w:gridCol w:w="788"/>
        <w:gridCol w:w="725"/>
        <w:gridCol w:w="1200"/>
        <w:gridCol w:w="912"/>
        <w:gridCol w:w="64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5" w:hRule="atLeast"/>
        </w:trPr>
        <w:tc>
          <w:tcPr>
            <w:tcW w:w="8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序号</w:t>
            </w:r>
          </w:p>
        </w:tc>
        <w:tc>
          <w:tcPr>
            <w:tcW w:w="788"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项目名称</w:t>
            </w:r>
          </w:p>
        </w:tc>
        <w:tc>
          <w:tcPr>
            <w:tcW w:w="725"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单位</w:t>
            </w:r>
          </w:p>
        </w:tc>
        <w:tc>
          <w:tcPr>
            <w:tcW w:w="120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计划采购数量</w:t>
            </w:r>
          </w:p>
        </w:tc>
        <w:tc>
          <w:tcPr>
            <w:tcW w:w="912"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采购预算</w:t>
            </w:r>
          </w:p>
        </w:tc>
        <w:tc>
          <w:tcPr>
            <w:tcW w:w="6450" w:type="dxa"/>
            <w:noWrap w:val="0"/>
            <w:vAlign w:val="center"/>
          </w:tcPr>
          <w:p>
            <w:pPr>
              <w:spacing w:line="520" w:lineRule="exact"/>
              <w:jc w:val="center"/>
              <w:rPr>
                <w:rFonts w:ascii="仿宋" w:hAnsi="仿宋" w:eastAsia="仿宋"/>
                <w:b/>
                <w:bCs/>
                <w:sz w:val="28"/>
                <w:szCs w:val="28"/>
                <w:highlight w:val="none"/>
              </w:rPr>
            </w:pPr>
            <w:r>
              <w:rPr>
                <w:rFonts w:hint="eastAsia" w:ascii="仿宋" w:hAnsi="仿宋" w:eastAsia="仿宋"/>
                <w:b/>
                <w:bCs/>
                <w:sz w:val="28"/>
                <w:szCs w:val="28"/>
                <w:highlight w:val="none"/>
              </w:rPr>
              <w:t>基本情况及需求</w:t>
            </w:r>
          </w:p>
          <w:p>
            <w:pPr>
              <w:spacing w:line="520" w:lineRule="exact"/>
              <w:jc w:val="center"/>
              <w:rPr>
                <w:rFonts w:ascii="仿宋" w:hAnsi="仿宋" w:eastAsia="仿宋"/>
                <w:b/>
                <w:bCs/>
                <w:sz w:val="28"/>
                <w:szCs w:val="2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8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788"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lang w:val="en-US" w:eastAsia="zh-CN"/>
              </w:rPr>
              <w:t>南宁中心血站科普馆拓展建设及血站开放日参观路线设计制作服务</w:t>
            </w:r>
          </w:p>
        </w:tc>
        <w:tc>
          <w:tcPr>
            <w:tcW w:w="725" w:type="dxa"/>
            <w:noWrap w:val="0"/>
            <w:vAlign w:val="center"/>
          </w:tcPr>
          <w:p>
            <w:pPr>
              <w:spacing w:line="520" w:lineRule="exact"/>
              <w:jc w:val="center"/>
              <w:rPr>
                <w:rFonts w:hint="eastAsia" w:ascii="仿宋" w:hAnsi="仿宋" w:eastAsia="仿宋"/>
                <w:b/>
                <w:bCs/>
                <w:szCs w:val="21"/>
                <w:highlight w:val="none"/>
                <w:lang w:eastAsia="zh-CN"/>
              </w:rPr>
            </w:pPr>
            <w:r>
              <w:rPr>
                <w:rFonts w:hint="eastAsia" w:ascii="仿宋" w:hAnsi="仿宋" w:eastAsia="仿宋"/>
                <w:b/>
                <w:bCs/>
                <w:szCs w:val="21"/>
                <w:highlight w:val="none"/>
                <w:lang w:eastAsia="zh-CN"/>
              </w:rPr>
              <w:t>项</w:t>
            </w:r>
          </w:p>
        </w:tc>
        <w:tc>
          <w:tcPr>
            <w:tcW w:w="1200" w:type="dxa"/>
            <w:noWrap w:val="0"/>
            <w:vAlign w:val="center"/>
          </w:tcPr>
          <w:p>
            <w:pPr>
              <w:spacing w:line="520" w:lineRule="exact"/>
              <w:jc w:val="center"/>
              <w:rPr>
                <w:rFonts w:ascii="仿宋" w:hAnsi="仿宋" w:eastAsia="仿宋"/>
                <w:b/>
                <w:bCs/>
                <w:szCs w:val="21"/>
                <w:highlight w:val="none"/>
              </w:rPr>
            </w:pPr>
            <w:r>
              <w:rPr>
                <w:rFonts w:hint="eastAsia" w:ascii="仿宋" w:hAnsi="仿宋" w:eastAsia="仿宋"/>
                <w:b/>
                <w:bCs/>
                <w:szCs w:val="21"/>
                <w:highlight w:val="none"/>
              </w:rPr>
              <w:t>1</w:t>
            </w:r>
          </w:p>
        </w:tc>
        <w:tc>
          <w:tcPr>
            <w:tcW w:w="912" w:type="dxa"/>
            <w:noWrap w:val="0"/>
            <w:vAlign w:val="center"/>
          </w:tcPr>
          <w:p>
            <w:pPr>
              <w:spacing w:line="520" w:lineRule="exact"/>
              <w:jc w:val="center"/>
              <w:rPr>
                <w:rFonts w:ascii="仿宋" w:hAnsi="仿宋" w:eastAsia="仿宋"/>
                <w:b/>
                <w:bCs/>
                <w:szCs w:val="21"/>
                <w:highlight w:val="none"/>
              </w:rPr>
            </w:pPr>
            <w:r>
              <w:rPr>
                <w:rFonts w:hint="default" w:ascii="仿宋" w:hAnsi="仿宋" w:eastAsia="仿宋" w:cs="Times New Roman"/>
                <w:b/>
                <w:bCs/>
                <w:sz w:val="21"/>
                <w:szCs w:val="21"/>
                <w:highlight w:val="none"/>
                <w:vertAlign w:val="baseline"/>
                <w:lang w:val="en-US" w:eastAsia="zh-CN"/>
              </w:rPr>
              <w:t>本项目预算待定，请根据本项目服务内容及相关标准进行报价。</w:t>
            </w:r>
          </w:p>
        </w:tc>
        <w:tc>
          <w:tcPr>
            <w:tcW w:w="6450"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一、项目概况：</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本次采购项目为南宁中心血站的血液的奥秘智慧科普馆的扩展建设及血站开放日参观路线文化展示设计制作服务，目的是通过改造建设，定位成为急救心肺复苏培训基地、青少年采供血全流程沉浸式体验互动基地，具备急救发证功能。改建科普馆现有的内部心肺复苏培训室，打造具备无偿献血收藏品展出等功能。血站开放日参观路线要求在参观路线设计与南宁中心血站文化、血液科普知识推广、无偿献血宣传相结合。</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二、服务范围：</w:t>
            </w:r>
          </w:p>
          <w:p>
            <w:pPr>
              <w:keepNext w:val="0"/>
              <w:keepLines w:val="0"/>
              <w:pageBreakBefore w:val="0"/>
              <w:widowControl w:val="0"/>
              <w:numPr>
                <w:ilvl w:val="0"/>
                <w:numId w:val="0"/>
              </w:numPr>
              <w:kinsoku/>
              <w:wordWrap/>
              <w:overflowPunct/>
              <w:topLinePunct w:val="0"/>
              <w:autoSpaceDE/>
              <w:autoSpaceDN/>
              <w:bidi w:val="0"/>
              <w:adjustRightInd/>
              <w:snapToGrid/>
              <w:spacing w:line="520" w:lineRule="exact"/>
              <w:jc w:val="left"/>
              <w:textAlignment w:val="auto"/>
              <w:rPr>
                <w:rFonts w:hint="eastAsia" w:ascii="仿宋" w:hAnsi="仿宋" w:eastAsia="仿宋" w:cs="Times New Roman"/>
                <w:b/>
                <w:bCs/>
                <w:sz w:val="21"/>
                <w:szCs w:val="21"/>
                <w:highlight w:val="none"/>
                <w:vertAlign w:val="baseline"/>
                <w:lang w:val="en-US" w:eastAsia="zh-CN"/>
              </w:rPr>
            </w:pPr>
            <w:r>
              <w:rPr>
                <w:rFonts w:hint="eastAsia" w:ascii="仿宋" w:hAnsi="仿宋" w:eastAsia="仿宋" w:cs="Times New Roman"/>
                <w:b/>
                <w:bCs/>
                <w:sz w:val="21"/>
                <w:szCs w:val="21"/>
                <w:highlight w:val="none"/>
                <w:vertAlign w:val="baseline"/>
                <w:lang w:val="en-US" w:eastAsia="zh-CN"/>
              </w:rPr>
              <w:t>1.业务大楼3楼血液的奥秘智慧科普馆前设计装修（装修时预留后期安装心肺复苏培训及采供血全流程体验互动设备线路及安装空间）、科普馆内部心肺复苏培训室改造为收藏品陈列馆，共约180平米区域；</w:t>
            </w:r>
          </w:p>
          <w:p>
            <w:pPr>
              <w:spacing w:line="520" w:lineRule="exact"/>
              <w:jc w:val="left"/>
              <w:rPr>
                <w:rFonts w:ascii="仿宋" w:hAnsi="仿宋" w:eastAsia="仿宋"/>
                <w:b/>
                <w:bCs/>
                <w:szCs w:val="21"/>
                <w:highlight w:val="none"/>
              </w:rPr>
            </w:pPr>
            <w:r>
              <w:rPr>
                <w:rFonts w:hint="eastAsia" w:ascii="仿宋" w:hAnsi="仿宋" w:eastAsia="仿宋" w:cs="Times New Roman"/>
                <w:b/>
                <w:bCs/>
                <w:sz w:val="21"/>
                <w:szCs w:val="21"/>
                <w:highlight w:val="none"/>
                <w:vertAlign w:val="baseline"/>
                <w:lang w:val="en-US" w:eastAsia="zh-CN"/>
              </w:rPr>
              <w:t>2.血站开放日参观路线。</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7A"/>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A1OTYxMGJlMWJmNjExY2U0NjhkNjQyNTliMDRjN2UifQ=="/>
  </w:docVars>
  <w:rsids>
    <w:rsidRoot w:val="6A694D4F"/>
    <w:rsid w:val="6A694D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uiPriority w:val="0"/>
    <w:pPr>
      <w:widowControl w:val="0"/>
      <w:jc w:val="both"/>
    </w:pPr>
    <w:rPr>
      <w:rFonts w:ascii="Calibri" w:hAnsi="Calibri" w:eastAsia="宋体" w:cs="Times New Roman"/>
      <w:kern w:val="2"/>
      <w:sz w:val="21"/>
      <w:szCs w:val="24"/>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List 2"/>
    <w:basedOn w:val="1"/>
    <w:qFormat/>
    <w:uiPriority w:val="0"/>
    <w:pPr>
      <w:ind w:left="400" w:leftChars="200" w:hanging="200" w:hangingChars="200"/>
    </w:pPr>
    <w:rPr>
      <w:sz w:val="28"/>
    </w:rPr>
  </w:style>
  <w:style w:type="paragraph" w:styleId="3">
    <w:name w:val="footer"/>
    <w:basedOn w:val="1"/>
    <w:uiPriority w:val="0"/>
    <w:pPr>
      <w:tabs>
        <w:tab w:val="center" w:pos="4153"/>
        <w:tab w:val="right" w:pos="8306"/>
      </w:tabs>
      <w:snapToGrid w:val="0"/>
      <w:jc w:val="left"/>
    </w:pPr>
    <w:rPr>
      <w:rFonts w:ascii="Times New Roman" w:hAnsi="Times New Roman" w:eastAsia="宋体" w:cs="Times New Roman"/>
      <w:sz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Office_11.1.0.12353_F1E327BC-269C-435d-A152-05C5408002CA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2022-08-31T01:08:00Z</dcterms:created>
  <dc:creator>WPS</dc:creator>
  <cp:lastModifiedBy>WPS</cp:lastModifiedBy>
  <dcterms:modified xsi:type="dcterms:W3CDTF">2022-08-31T01:08:29Z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2052-11.1.0.12353</vt:lpwstr>
  </property>
  <property fmtid="{D5CDD505-2E9C-101B-9397-08002B2CF9AE}" pid="3" name="ICV">
    <vt:lpwstr>93A429C36344415890FF9B1BC921C003</vt:lpwstr>
  </property>
</Properties>
</file>