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Times New Roman"/>
          <w:sz w:val="32"/>
          <w:szCs w:val="32"/>
          <w:highlight w:val="none"/>
          <w:lang w:val="en-US" w:eastAsia="zh-CN"/>
        </w:rPr>
      </w:pPr>
      <w:r>
        <w:rPr>
          <w:rFonts w:hint="eastAsia" w:ascii="仿宋" w:hAnsi="仿宋" w:eastAsia="仿宋" w:cs="Times New Roman"/>
          <w:sz w:val="32"/>
          <w:szCs w:val="32"/>
          <w:highlight w:val="none"/>
          <w:lang w:val="en-US" w:eastAsia="zh-CN"/>
        </w:rPr>
        <w:t>附件2</w:t>
      </w:r>
    </w:p>
    <w:tbl>
      <w:tblPr>
        <w:tblStyle w:val="3"/>
        <w:tblpPr w:leftFromText="180" w:rightFromText="180" w:vertAnchor="page" w:horzAnchor="page" w:tblpX="1111" w:tblpY="2786"/>
        <w:tblOverlap w:val="never"/>
        <w:tblW w:w="9766" w:type="dxa"/>
        <w:tblInd w:w="0" w:type="dxa"/>
        <w:tblLayout w:type="fixed"/>
        <w:tblCellMar>
          <w:top w:w="0" w:type="dxa"/>
          <w:left w:w="0" w:type="dxa"/>
          <w:bottom w:w="0" w:type="dxa"/>
          <w:right w:w="0" w:type="dxa"/>
        </w:tblCellMar>
      </w:tblPr>
      <w:tblGrid>
        <w:gridCol w:w="519"/>
        <w:gridCol w:w="788"/>
        <w:gridCol w:w="663"/>
        <w:gridCol w:w="7796"/>
      </w:tblGrid>
      <w:tr>
        <w:tblPrEx>
          <w:tblCellMar>
            <w:top w:w="0" w:type="dxa"/>
            <w:left w:w="0" w:type="dxa"/>
            <w:bottom w:w="0" w:type="dxa"/>
            <w:right w:w="0" w:type="dxa"/>
          </w:tblCellMar>
        </w:tblPrEx>
        <w:tc>
          <w:tcPr>
            <w:tcW w:w="519" w:type="dxa"/>
            <w:tcBorders>
              <w:top w:val="single" w:color="auto" w:sz="8" w:space="0"/>
              <w:left w:val="single" w:color="auto" w:sz="8" w:space="0"/>
              <w:bottom w:val="single" w:color="auto" w:sz="4" w:space="0"/>
              <w:right w:val="single" w:color="auto" w:sz="8" w:space="0"/>
            </w:tcBorders>
            <w:noWrap w:val="0"/>
            <w:vAlign w:val="center"/>
          </w:tcPr>
          <w:p>
            <w:pPr>
              <w:jc w:val="center"/>
              <w:rPr>
                <w:rFonts w:hint="eastAsia"/>
                <w:b/>
                <w:color w:val="auto"/>
                <w:highlight w:val="none"/>
              </w:rPr>
            </w:pPr>
            <w:r>
              <w:rPr>
                <w:rFonts w:hint="eastAsia"/>
                <w:b/>
                <w:color w:val="auto"/>
                <w:highlight w:val="none"/>
              </w:rPr>
              <w:t>项号</w:t>
            </w:r>
          </w:p>
        </w:tc>
        <w:tc>
          <w:tcPr>
            <w:tcW w:w="788" w:type="dxa"/>
            <w:tcBorders>
              <w:top w:val="single" w:color="auto" w:sz="8" w:space="0"/>
              <w:left w:val="nil"/>
              <w:bottom w:val="single" w:color="auto" w:sz="4" w:space="0"/>
              <w:right w:val="single" w:color="auto" w:sz="8" w:space="0"/>
            </w:tcBorders>
            <w:noWrap w:val="0"/>
            <w:tcMar>
              <w:top w:w="0" w:type="dxa"/>
              <w:left w:w="108" w:type="dxa"/>
              <w:bottom w:w="0" w:type="dxa"/>
              <w:right w:w="108" w:type="dxa"/>
            </w:tcMar>
            <w:vAlign w:val="center"/>
          </w:tcPr>
          <w:p>
            <w:pPr>
              <w:jc w:val="center"/>
              <w:rPr>
                <w:rFonts w:hint="eastAsia"/>
                <w:b/>
                <w:color w:val="auto"/>
                <w:highlight w:val="none"/>
              </w:rPr>
            </w:pPr>
            <w:r>
              <w:rPr>
                <w:rFonts w:hint="eastAsia"/>
                <w:b/>
                <w:color w:val="auto"/>
                <w:highlight w:val="none"/>
                <w:lang w:eastAsia="zh-CN"/>
              </w:rPr>
              <w:t>标项</w:t>
            </w:r>
            <w:r>
              <w:rPr>
                <w:rFonts w:hint="eastAsia"/>
                <w:b/>
                <w:color w:val="auto"/>
                <w:highlight w:val="none"/>
              </w:rPr>
              <w:t>名称</w:t>
            </w:r>
          </w:p>
        </w:tc>
        <w:tc>
          <w:tcPr>
            <w:tcW w:w="663" w:type="dxa"/>
            <w:tcBorders>
              <w:top w:val="single" w:color="auto" w:sz="8" w:space="0"/>
              <w:left w:val="nil"/>
              <w:bottom w:val="single" w:color="auto" w:sz="4" w:space="0"/>
              <w:right w:val="single" w:color="auto" w:sz="8" w:space="0"/>
            </w:tcBorders>
            <w:noWrap w:val="0"/>
            <w:tcMar>
              <w:top w:w="0" w:type="dxa"/>
              <w:left w:w="108" w:type="dxa"/>
              <w:bottom w:w="0" w:type="dxa"/>
              <w:right w:w="108" w:type="dxa"/>
            </w:tcMar>
            <w:vAlign w:val="center"/>
          </w:tcPr>
          <w:p>
            <w:pPr>
              <w:jc w:val="center"/>
              <w:rPr>
                <w:rFonts w:hint="eastAsia"/>
                <w:b/>
                <w:color w:val="auto"/>
                <w:highlight w:val="none"/>
              </w:rPr>
            </w:pPr>
            <w:r>
              <w:rPr>
                <w:rFonts w:hint="eastAsia"/>
                <w:b/>
                <w:color w:val="auto"/>
                <w:highlight w:val="none"/>
              </w:rPr>
              <w:t>数量</w:t>
            </w:r>
          </w:p>
        </w:tc>
        <w:tc>
          <w:tcPr>
            <w:tcW w:w="7796" w:type="dxa"/>
            <w:tcBorders>
              <w:top w:val="single" w:color="auto" w:sz="8" w:space="0"/>
              <w:left w:val="nil"/>
              <w:bottom w:val="single" w:color="auto" w:sz="4" w:space="0"/>
              <w:right w:val="single" w:color="auto" w:sz="8" w:space="0"/>
            </w:tcBorders>
            <w:noWrap w:val="0"/>
            <w:tcMar>
              <w:top w:w="0" w:type="dxa"/>
              <w:left w:w="108" w:type="dxa"/>
              <w:bottom w:w="0" w:type="dxa"/>
              <w:right w:w="108" w:type="dxa"/>
            </w:tcMar>
            <w:vAlign w:val="center"/>
          </w:tcPr>
          <w:p>
            <w:pPr>
              <w:jc w:val="center"/>
              <w:rPr>
                <w:rFonts w:hint="eastAsia"/>
                <w:b/>
                <w:color w:val="auto"/>
                <w:highlight w:val="none"/>
              </w:rPr>
            </w:pPr>
            <w:r>
              <w:rPr>
                <w:rFonts w:hint="eastAsia"/>
                <w:b/>
                <w:color w:val="auto"/>
                <w:highlight w:val="none"/>
              </w:rPr>
              <w:t>服务要求及内容</w:t>
            </w:r>
          </w:p>
        </w:tc>
      </w:tr>
      <w:tr>
        <w:tblPrEx>
          <w:tblCellMar>
            <w:top w:w="0" w:type="dxa"/>
            <w:left w:w="0" w:type="dxa"/>
            <w:bottom w:w="0" w:type="dxa"/>
            <w:right w:w="0" w:type="dxa"/>
          </w:tblCellMar>
        </w:tblPrEx>
        <w:trPr>
          <w:trHeight w:val="1134" w:hRule="atLeast"/>
        </w:trPr>
        <w:tc>
          <w:tcPr>
            <w:tcW w:w="51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spacing w:line="380" w:lineRule="exact"/>
              <w:rPr>
                <w:rFonts w:hint="eastAsia"/>
                <w:color w:val="auto"/>
                <w:szCs w:val="21"/>
                <w:highlight w:val="none"/>
                <w:shd w:val="clear" w:color="auto" w:fill="FFFFFF"/>
              </w:rPr>
            </w:pPr>
            <w:r>
              <w:rPr>
                <w:rFonts w:hint="eastAsia"/>
                <w:color w:val="auto"/>
                <w:szCs w:val="21"/>
                <w:highlight w:val="none"/>
                <w:shd w:val="clear" w:color="auto" w:fill="FFFFFF"/>
              </w:rPr>
              <w:t>1</w:t>
            </w:r>
          </w:p>
        </w:tc>
        <w:tc>
          <w:tcPr>
            <w:tcW w:w="78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textAlignment w:val="center"/>
              <w:rPr>
                <w:rFonts w:hint="eastAsia" w:eastAsia="宋体"/>
                <w:color w:val="auto"/>
                <w:szCs w:val="21"/>
                <w:highlight w:val="none"/>
                <w:lang w:eastAsia="zh-CN"/>
              </w:rPr>
            </w:pPr>
            <w:r>
              <w:rPr>
                <w:rFonts w:hint="eastAsia" w:eastAsia="宋体"/>
                <w:color w:val="auto"/>
                <w:szCs w:val="21"/>
                <w:highlight w:val="none"/>
                <w:lang w:eastAsia="zh-CN"/>
              </w:rPr>
              <w:t>南宁中心血站工程项目结算编审服务</w:t>
            </w:r>
          </w:p>
        </w:tc>
        <w:tc>
          <w:tcPr>
            <w:tcW w:w="66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textAlignment w:val="center"/>
              <w:rPr>
                <w:rFonts w:hint="eastAsia"/>
                <w:color w:val="auto"/>
                <w:szCs w:val="21"/>
                <w:highlight w:val="none"/>
                <w:shd w:val="clear" w:color="auto" w:fill="FFFFFF"/>
              </w:rPr>
            </w:pPr>
            <w:r>
              <w:rPr>
                <w:rFonts w:hint="eastAsia"/>
                <w:color w:val="auto"/>
                <w:szCs w:val="21"/>
                <w:highlight w:val="none"/>
                <w:shd w:val="clear" w:color="auto" w:fill="FFFFFF"/>
              </w:rPr>
              <w:t>1项</w:t>
            </w:r>
          </w:p>
        </w:tc>
        <w:tc>
          <w:tcPr>
            <w:tcW w:w="7796"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numPr>
                <w:ilvl w:val="0"/>
                <w:numId w:val="0"/>
              </w:numPr>
              <w:spacing w:line="420" w:lineRule="exact"/>
              <w:rPr>
                <w:rFonts w:hint="eastAsia" w:ascii="宋体" w:hAnsi="宋体"/>
                <w:color w:val="auto"/>
                <w:highlight w:val="none"/>
                <w:lang w:val="en-US" w:eastAsia="zh-CN"/>
              </w:rPr>
            </w:pPr>
            <w:r>
              <w:rPr>
                <w:rFonts w:hint="eastAsia" w:ascii="宋体" w:hAnsi="宋体"/>
                <w:color w:val="auto"/>
                <w:szCs w:val="21"/>
                <w:highlight w:val="none"/>
                <w:lang w:eastAsia="zh-CN"/>
              </w:rPr>
              <w:t>一、</w:t>
            </w:r>
            <w:r>
              <w:rPr>
                <w:rFonts w:hint="eastAsia" w:ascii="宋体" w:hAnsi="宋体"/>
                <w:color w:val="auto"/>
                <w:szCs w:val="21"/>
                <w:highlight w:val="none"/>
              </w:rPr>
              <w:t>采购范围：</w:t>
            </w:r>
            <w:r>
              <w:rPr>
                <w:rFonts w:hint="eastAsia" w:eastAsia="宋体"/>
                <w:color w:val="auto"/>
                <w:szCs w:val="21"/>
                <w:highlight w:val="none"/>
                <w:lang w:eastAsia="zh-CN"/>
              </w:rPr>
              <w:t>工程项目结算编审服务</w:t>
            </w:r>
          </w:p>
          <w:p>
            <w:pPr>
              <w:numPr>
                <w:ilvl w:val="0"/>
                <w:numId w:val="0"/>
              </w:numPr>
              <w:spacing w:line="420" w:lineRule="exact"/>
              <w:rPr>
                <w:rFonts w:hint="eastAsia" w:ascii="宋体" w:hAnsi="宋体"/>
                <w:color w:val="auto"/>
                <w:szCs w:val="21"/>
                <w:highlight w:val="none"/>
              </w:rPr>
            </w:pPr>
            <w:r>
              <w:rPr>
                <w:rFonts w:hint="eastAsia" w:ascii="宋体" w:hAnsi="宋体"/>
                <w:color w:val="auto"/>
                <w:szCs w:val="21"/>
                <w:highlight w:val="none"/>
              </w:rPr>
              <w:t>二、内容要求：</w:t>
            </w:r>
          </w:p>
          <w:p>
            <w:pPr>
              <w:spacing w:line="420" w:lineRule="exact"/>
              <w:rPr>
                <w:rFonts w:hint="eastAsia" w:ascii="宋体" w:hAnsi="宋体"/>
                <w:color w:val="auto"/>
                <w:szCs w:val="21"/>
                <w:highlight w:val="none"/>
              </w:rPr>
            </w:pPr>
            <w:r>
              <w:rPr>
                <w:rFonts w:hint="eastAsia" w:ascii="宋体" w:hAnsi="宋体"/>
                <w:color w:val="auto"/>
                <w:szCs w:val="21"/>
                <w:highlight w:val="none"/>
              </w:rPr>
              <w:t>（一）</w:t>
            </w:r>
            <w:r>
              <w:rPr>
                <w:rFonts w:hint="eastAsia" w:ascii="宋体" w:hAnsi="宋体"/>
                <w:color w:val="auto"/>
                <w:szCs w:val="21"/>
                <w:highlight w:val="none"/>
                <w:lang w:eastAsia="zh-CN"/>
              </w:rPr>
              <w:t>供应商</w:t>
            </w:r>
            <w:r>
              <w:rPr>
                <w:rFonts w:hint="eastAsia" w:ascii="宋体" w:hAnsi="宋体"/>
                <w:color w:val="auto"/>
                <w:szCs w:val="21"/>
                <w:highlight w:val="none"/>
              </w:rPr>
              <w:t>在南宁市有或承诺</w:t>
            </w:r>
            <w:r>
              <w:rPr>
                <w:rFonts w:hint="eastAsia" w:ascii="宋体" w:hAnsi="宋体"/>
                <w:color w:val="auto"/>
                <w:szCs w:val="21"/>
                <w:highlight w:val="none"/>
                <w:lang w:val="en-US" w:eastAsia="zh-CN"/>
              </w:rPr>
              <w:t>成交</w:t>
            </w:r>
            <w:r>
              <w:rPr>
                <w:rFonts w:hint="eastAsia" w:ascii="宋体" w:hAnsi="宋体"/>
                <w:color w:val="auto"/>
                <w:szCs w:val="21"/>
                <w:highlight w:val="none"/>
              </w:rPr>
              <w:t>后有固定的营业场所及相关配套设施；</w:t>
            </w:r>
          </w:p>
          <w:p>
            <w:pPr>
              <w:spacing w:line="420" w:lineRule="exact"/>
              <w:rPr>
                <w:rFonts w:hint="eastAsia" w:ascii="宋体" w:hAnsi="宋体"/>
                <w:color w:val="auto"/>
                <w:szCs w:val="21"/>
                <w:highlight w:val="none"/>
              </w:rPr>
            </w:pPr>
            <w:r>
              <w:rPr>
                <w:rFonts w:hint="eastAsia" w:ascii="宋体" w:hAnsi="宋体"/>
                <w:color w:val="auto"/>
                <w:szCs w:val="21"/>
                <w:highlight w:val="none"/>
              </w:rPr>
              <w:t>（二）</w:t>
            </w:r>
            <w:r>
              <w:rPr>
                <w:rFonts w:hint="eastAsia" w:ascii="宋体" w:hAnsi="宋体"/>
                <w:color w:val="auto"/>
                <w:szCs w:val="21"/>
                <w:highlight w:val="none"/>
                <w:lang w:eastAsia="zh-CN"/>
              </w:rPr>
              <w:t>供应商</w:t>
            </w:r>
            <w:r>
              <w:rPr>
                <w:rFonts w:hint="eastAsia" w:ascii="宋体" w:hAnsi="宋体"/>
                <w:color w:val="auto"/>
                <w:szCs w:val="21"/>
                <w:highlight w:val="none"/>
              </w:rPr>
              <w:t>有专业的管理人员并具备相应的专业知识、组织、协调和管理能力；</w:t>
            </w:r>
          </w:p>
          <w:p>
            <w:pPr>
              <w:spacing w:line="420" w:lineRule="exact"/>
              <w:rPr>
                <w:rFonts w:hint="eastAsia" w:ascii="宋体" w:hAnsi="宋体"/>
                <w:color w:val="auto"/>
                <w:szCs w:val="21"/>
                <w:highlight w:val="none"/>
              </w:rPr>
            </w:pPr>
            <w:r>
              <w:rPr>
                <w:rFonts w:hint="eastAsia" w:ascii="宋体" w:hAnsi="宋体"/>
                <w:color w:val="auto"/>
                <w:szCs w:val="21"/>
                <w:highlight w:val="none"/>
              </w:rPr>
              <w:t>（三）</w:t>
            </w:r>
            <w:r>
              <w:rPr>
                <w:rFonts w:hint="eastAsia" w:ascii="宋体" w:hAnsi="宋体"/>
                <w:color w:val="auto"/>
                <w:szCs w:val="21"/>
                <w:highlight w:val="none"/>
                <w:lang w:eastAsia="zh-CN"/>
              </w:rPr>
              <w:t>供应商</w:t>
            </w:r>
            <w:r>
              <w:rPr>
                <w:rFonts w:hint="eastAsia" w:ascii="宋体" w:hAnsi="宋体"/>
                <w:color w:val="auto"/>
                <w:szCs w:val="21"/>
                <w:highlight w:val="none"/>
              </w:rPr>
              <w:t>有固定为本项目服务的专业团队</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并</w:t>
            </w:r>
            <w:r>
              <w:rPr>
                <w:rFonts w:hint="eastAsia" w:ascii="宋体" w:hAnsi="宋体"/>
                <w:color w:val="auto"/>
                <w:szCs w:val="21"/>
                <w:highlight w:val="none"/>
                <w:lang w:eastAsia="zh-CN"/>
              </w:rPr>
              <w:t>提供咨询业务代表，负责与咨询人对接联系；</w:t>
            </w:r>
          </w:p>
          <w:p>
            <w:pPr>
              <w:spacing w:line="42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（四）</w:t>
            </w:r>
            <w:r>
              <w:rPr>
                <w:rFonts w:hint="eastAsia" w:ascii="宋体" w:hAnsi="宋体"/>
                <w:color w:val="auto"/>
                <w:szCs w:val="21"/>
                <w:highlight w:val="none"/>
              </w:rPr>
              <w:t>在约定的时间内就咨询人书面提交并要求做出答复的事宜做出书面答复</w:t>
            </w:r>
            <w:r>
              <w:rPr>
                <w:rFonts w:hint="eastAsia" w:ascii="宋体" w:hAnsi="宋体"/>
                <w:color w:val="auto"/>
                <w:szCs w:val="21"/>
                <w:highlight w:val="none"/>
                <w:lang w:eastAsia="zh-CN"/>
              </w:rPr>
              <w:t>；</w:t>
            </w:r>
          </w:p>
          <w:p>
            <w:pPr>
              <w:spacing w:line="420" w:lineRule="exac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1、工程结算编审：造价咨询公司须在接收采购人的书面材料之日起10日内完成编审工作并提交编审工作成果（含项目评审报告）及工程量计算底稿，一式四份送至采购人；</w:t>
            </w:r>
          </w:p>
          <w:p>
            <w:pPr>
              <w:spacing w:line="420" w:lineRule="exact"/>
              <w:rPr>
                <w:rFonts w:hint="eastAsia" w:ascii="宋体" w:hAnsi="宋体"/>
                <w:color w:val="auto"/>
                <w:szCs w:val="21"/>
                <w:highlight w:val="none"/>
              </w:rPr>
            </w:pPr>
            <w:r>
              <w:rPr>
                <w:rFonts w:hint="eastAsia" w:ascii="宋体" w:hAnsi="宋体"/>
                <w:color w:val="auto"/>
                <w:szCs w:val="21"/>
                <w:highlight w:val="none"/>
              </w:rPr>
              <w:t>三、工作范围和职责：</w:t>
            </w:r>
          </w:p>
          <w:p>
            <w:pPr>
              <w:spacing w:line="420" w:lineRule="exact"/>
              <w:rPr>
                <w:rFonts w:hint="eastAsia"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w:t>
            </w:r>
            <w:r>
              <w:rPr>
                <w:rFonts w:hint="eastAsia" w:ascii="宋体" w:hAnsi="宋体"/>
                <w:color w:val="auto"/>
                <w:szCs w:val="21"/>
                <w:highlight w:val="none"/>
                <w:lang w:eastAsia="zh-CN"/>
              </w:rPr>
              <w:t>采购文</w:t>
            </w:r>
            <w:r>
              <w:rPr>
                <w:rFonts w:hint="eastAsia" w:ascii="宋体" w:hAnsi="宋体"/>
                <w:color w:val="auto"/>
                <w:szCs w:val="21"/>
                <w:highlight w:val="none"/>
              </w:rPr>
              <w:t>委托的各类工程项目（不含信息化项目）及与工程建设有关的勘察、设计、监理、检测及监测等服务项目的结算（含施工过程结算、竣工结算）编审工作。</w:t>
            </w:r>
          </w:p>
          <w:p>
            <w:pPr>
              <w:spacing w:line="420" w:lineRule="exact"/>
              <w:rPr>
                <w:rFonts w:hint="default" w:eastAsia="宋体"/>
                <w:b/>
                <w:color w:val="auto"/>
                <w:highlight w:val="none"/>
                <w:lang w:val="en-US" w:eastAsia="zh-CN" w:bidi="ar"/>
              </w:rPr>
            </w:pPr>
            <w:r>
              <w:rPr>
                <w:rFonts w:hint="eastAsia" w:ascii="宋体" w:hAnsi="宋体"/>
                <w:color w:val="auto"/>
                <w:szCs w:val="21"/>
                <w:highlight w:val="none"/>
                <w:lang w:val="en-US" w:eastAsia="zh-CN"/>
              </w:rPr>
              <w:t>2、</w:t>
            </w:r>
            <w:r>
              <w:rPr>
                <w:rFonts w:hint="eastAsia" w:ascii="宋体" w:hAnsi="宋体"/>
                <w:color w:val="auto"/>
                <w:szCs w:val="21"/>
                <w:highlight w:val="none"/>
              </w:rPr>
              <w:t>采购人交办的其他与工程造价咨询有关事宜。</w:t>
            </w:r>
          </w:p>
        </w:tc>
      </w:tr>
      <w:tr>
        <w:tblPrEx>
          <w:tblCellMar>
            <w:top w:w="0" w:type="dxa"/>
            <w:left w:w="0" w:type="dxa"/>
            <w:bottom w:w="0" w:type="dxa"/>
            <w:right w:w="0" w:type="dxa"/>
          </w:tblCellMar>
        </w:tblPrEx>
        <w:tc>
          <w:tcPr>
            <w:tcW w:w="51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rPr>
                <w:rFonts w:hint="eastAsia"/>
                <w:color w:val="auto"/>
                <w:highlight w:val="none"/>
              </w:rPr>
            </w:pPr>
            <w:r>
              <w:rPr>
                <w:rFonts w:hint="eastAsia"/>
                <w:color w:val="auto"/>
                <w:highlight w:val="none"/>
              </w:rPr>
              <w:t>商</w:t>
            </w:r>
          </w:p>
          <w:p>
            <w:pPr>
              <w:rPr>
                <w:rFonts w:hint="eastAsia"/>
                <w:color w:val="auto"/>
                <w:highlight w:val="none"/>
              </w:rPr>
            </w:pPr>
          </w:p>
          <w:p>
            <w:pPr>
              <w:rPr>
                <w:rFonts w:hint="eastAsia"/>
                <w:color w:val="auto"/>
                <w:highlight w:val="none"/>
              </w:rPr>
            </w:pPr>
            <w:r>
              <w:rPr>
                <w:rFonts w:hint="eastAsia"/>
                <w:color w:val="auto"/>
                <w:highlight w:val="none"/>
              </w:rPr>
              <w:t>务</w:t>
            </w:r>
          </w:p>
          <w:p>
            <w:pPr>
              <w:rPr>
                <w:rFonts w:hint="eastAsia"/>
                <w:color w:val="auto"/>
                <w:highlight w:val="none"/>
              </w:rPr>
            </w:pPr>
          </w:p>
          <w:p>
            <w:pPr>
              <w:rPr>
                <w:rFonts w:hint="eastAsia"/>
                <w:color w:val="auto"/>
                <w:highlight w:val="none"/>
              </w:rPr>
            </w:pPr>
            <w:r>
              <w:rPr>
                <w:rFonts w:hint="eastAsia"/>
                <w:color w:val="auto"/>
                <w:highlight w:val="none"/>
              </w:rPr>
              <w:t>条</w:t>
            </w:r>
          </w:p>
          <w:p>
            <w:pPr>
              <w:rPr>
                <w:rFonts w:hint="eastAsia"/>
                <w:color w:val="auto"/>
                <w:highlight w:val="none"/>
              </w:rPr>
            </w:pPr>
          </w:p>
          <w:p>
            <w:pPr>
              <w:rPr>
                <w:rFonts w:hint="eastAsia"/>
                <w:color w:val="auto"/>
                <w:highlight w:val="none"/>
              </w:rPr>
            </w:pPr>
            <w:r>
              <w:rPr>
                <w:rFonts w:hint="eastAsia"/>
                <w:color w:val="auto"/>
                <w:highlight w:val="none"/>
              </w:rPr>
              <w:t>款</w:t>
            </w:r>
          </w:p>
        </w:tc>
        <w:tc>
          <w:tcPr>
            <w:tcW w:w="9247" w:type="dxa"/>
            <w:gridSpan w:val="3"/>
            <w:tcBorders>
              <w:top w:val="nil"/>
              <w:left w:val="nil"/>
              <w:bottom w:val="single" w:color="auto" w:sz="8" w:space="0"/>
              <w:right w:val="single" w:color="auto" w:sz="8" w:space="0"/>
            </w:tcBorders>
            <w:noWrap w:val="0"/>
            <w:tcMar>
              <w:top w:w="0" w:type="dxa"/>
              <w:left w:w="108" w:type="dxa"/>
              <w:bottom w:w="0" w:type="dxa"/>
              <w:right w:w="108" w:type="dxa"/>
            </w:tcMar>
            <w:vAlign w:val="center"/>
          </w:tcPr>
          <w:p>
            <w:pPr>
              <w:numPr>
                <w:ilvl w:val="0"/>
                <w:numId w:val="0"/>
              </w:numPr>
              <w:spacing w:line="400" w:lineRule="exact"/>
              <w:rPr>
                <w:rFonts w:hint="eastAsia"/>
                <w:highlight w:val="none"/>
              </w:rPr>
            </w:pPr>
            <w:r>
              <w:rPr>
                <w:rFonts w:hint="eastAsia"/>
                <w:highlight w:val="none"/>
                <w:lang w:val="en-US" w:eastAsia="zh-CN"/>
              </w:rPr>
              <w:t>一、</w:t>
            </w:r>
            <w:r>
              <w:rPr>
                <w:rFonts w:hint="eastAsia"/>
                <w:highlight w:val="none"/>
              </w:rPr>
              <w:t>合同签订期：自</w:t>
            </w:r>
            <w:r>
              <w:rPr>
                <w:rFonts w:hint="eastAsia"/>
                <w:highlight w:val="none"/>
                <w:lang w:eastAsia="zh-CN"/>
              </w:rPr>
              <w:t>遴选</w:t>
            </w:r>
            <w:r>
              <w:rPr>
                <w:rFonts w:hint="eastAsia"/>
                <w:highlight w:val="none"/>
              </w:rPr>
              <w:t>结果</w:t>
            </w:r>
            <w:r>
              <w:rPr>
                <w:rFonts w:hint="eastAsia"/>
                <w:highlight w:val="none"/>
                <w:lang w:eastAsia="zh-CN"/>
              </w:rPr>
              <w:t>公告</w:t>
            </w:r>
            <w:r>
              <w:rPr>
                <w:rFonts w:hint="eastAsia"/>
                <w:highlight w:val="none"/>
              </w:rPr>
              <w:t xml:space="preserve">发出之日起 </w:t>
            </w:r>
            <w:r>
              <w:rPr>
                <w:rFonts w:hint="eastAsia"/>
                <w:highlight w:val="none"/>
                <w:lang w:val="en-US" w:eastAsia="zh-CN"/>
              </w:rPr>
              <w:t>10个工作</w:t>
            </w:r>
            <w:r>
              <w:rPr>
                <w:rFonts w:hint="eastAsia"/>
                <w:highlight w:val="none"/>
              </w:rPr>
              <w:t>日内。</w:t>
            </w:r>
          </w:p>
          <w:p>
            <w:pPr>
              <w:numPr>
                <w:ilvl w:val="0"/>
                <w:numId w:val="0"/>
              </w:numPr>
              <w:spacing w:line="400" w:lineRule="exact"/>
              <w:rPr>
                <w:rFonts w:hint="eastAsia"/>
                <w:highlight w:val="none"/>
                <w:lang w:eastAsia="zh-CN"/>
              </w:rPr>
            </w:pPr>
            <w:r>
              <w:rPr>
                <w:rFonts w:hint="eastAsia"/>
                <w:highlight w:val="none"/>
                <w:lang w:val="en-US" w:eastAsia="zh-CN"/>
              </w:rPr>
              <w:t>二、</w:t>
            </w:r>
            <w:r>
              <w:rPr>
                <w:rFonts w:hint="eastAsia"/>
                <w:highlight w:val="none"/>
              </w:rPr>
              <w:t>服务期限：</w:t>
            </w:r>
            <w:r>
              <w:rPr>
                <w:rFonts w:hint="eastAsia"/>
                <w:highlight w:val="none"/>
                <w:lang w:eastAsia="zh-CN"/>
              </w:rPr>
              <w:t>合同签订之日起至</w:t>
            </w:r>
            <w:r>
              <w:rPr>
                <w:rFonts w:hint="eastAsia"/>
                <w:highlight w:val="none"/>
                <w:lang w:val="en-US" w:eastAsia="zh-CN"/>
              </w:rPr>
              <w:t>2024年7月31日</w:t>
            </w:r>
            <w:r>
              <w:rPr>
                <w:rFonts w:hint="eastAsia"/>
                <w:highlight w:val="none"/>
                <w:lang w:eastAsia="zh-CN"/>
              </w:rPr>
              <w:t>。</w:t>
            </w:r>
          </w:p>
          <w:p>
            <w:pPr>
              <w:spacing w:line="400" w:lineRule="exact"/>
              <w:rPr>
                <w:rFonts w:hint="eastAsia"/>
                <w:highlight w:val="none"/>
              </w:rPr>
            </w:pPr>
            <w:r>
              <w:rPr>
                <w:rFonts w:hint="eastAsia"/>
                <w:highlight w:val="none"/>
              </w:rPr>
              <w:t>▲</w:t>
            </w:r>
            <w:r>
              <w:rPr>
                <w:rFonts w:hint="eastAsia"/>
                <w:highlight w:val="none"/>
                <w:lang w:val="en-US" w:eastAsia="zh-CN"/>
              </w:rPr>
              <w:t>三、</w:t>
            </w:r>
            <w:r>
              <w:rPr>
                <w:rFonts w:hint="eastAsia"/>
                <w:highlight w:val="none"/>
              </w:rPr>
              <w:t>提交服务成果</w:t>
            </w:r>
            <w:r>
              <w:rPr>
                <w:rFonts w:hint="eastAsia"/>
                <w:highlight w:val="none"/>
                <w:lang w:val="en-US" w:eastAsia="zh-CN"/>
              </w:rPr>
              <w:t>文件</w:t>
            </w:r>
            <w:r>
              <w:rPr>
                <w:rFonts w:hint="eastAsia"/>
                <w:highlight w:val="none"/>
              </w:rPr>
              <w:t>：按委托人要求时间完成，每个项目提交</w:t>
            </w:r>
            <w:r>
              <w:rPr>
                <w:rFonts w:hint="eastAsia"/>
                <w:highlight w:val="none"/>
                <w:lang w:val="en-US" w:eastAsia="zh-CN"/>
              </w:rPr>
              <w:t>书面</w:t>
            </w:r>
            <w:r>
              <w:rPr>
                <w:rFonts w:hint="eastAsia"/>
                <w:highlight w:val="none"/>
              </w:rPr>
              <w:t>报告。</w:t>
            </w:r>
          </w:p>
          <w:p>
            <w:pPr>
              <w:spacing w:line="400" w:lineRule="exact"/>
              <w:rPr>
                <w:rFonts w:hint="eastAsia" w:eastAsiaTheme="minorEastAsia"/>
                <w:highlight w:val="none"/>
                <w:lang w:eastAsia="zh-CN"/>
              </w:rPr>
            </w:pPr>
            <w:r>
              <w:rPr>
                <w:rFonts w:hint="eastAsia"/>
                <w:highlight w:val="none"/>
              </w:rPr>
              <w:t>四、提交服务成果地点：采购人指定地点</w:t>
            </w:r>
            <w:r>
              <w:rPr>
                <w:rFonts w:hint="eastAsia"/>
                <w:highlight w:val="none"/>
                <w:lang w:eastAsia="zh-CN"/>
              </w:rPr>
              <w:t>。</w:t>
            </w:r>
          </w:p>
          <w:p>
            <w:pPr>
              <w:spacing w:line="400" w:lineRule="exact"/>
              <w:rPr>
                <w:rFonts w:hint="eastAsia"/>
                <w:highlight w:val="none"/>
              </w:rPr>
            </w:pPr>
            <w:r>
              <w:rPr>
                <w:rFonts w:hint="eastAsia"/>
                <w:highlight w:val="none"/>
              </w:rPr>
              <w:t>五、服务质量：服务须符合国家建设主管部门的要求，各项服务符合相关的法律法规。</w:t>
            </w:r>
          </w:p>
          <w:p>
            <w:pPr>
              <w:spacing w:line="400" w:lineRule="exact"/>
              <w:rPr>
                <w:rFonts w:hint="eastAsia" w:ascii="宋体" w:hAnsi="宋体" w:cs="宋体"/>
                <w:color w:val="auto"/>
                <w:szCs w:val="21"/>
                <w:highlight w:val="none"/>
              </w:rPr>
            </w:pPr>
            <w:r>
              <w:rPr>
                <w:rFonts w:hint="eastAsia"/>
                <w:highlight w:val="none"/>
              </w:rPr>
              <w:t>六、其他要求：</w:t>
            </w:r>
          </w:p>
          <w:p>
            <w:pPr>
              <w:spacing w:line="400" w:lineRule="exact"/>
              <w:rPr>
                <w:rFonts w:hint="eastAsia"/>
                <w:highlight w:val="none"/>
              </w:rPr>
            </w:pPr>
            <w:r>
              <w:rPr>
                <w:rFonts w:hint="eastAsia"/>
                <w:highlight w:val="none"/>
              </w:rPr>
              <w:t>1、</w:t>
            </w:r>
            <w:r>
              <w:rPr>
                <w:rFonts w:hint="eastAsia"/>
                <w:highlight w:val="none"/>
                <w:lang w:eastAsia="zh-CN"/>
              </w:rPr>
              <w:t>每次服务的</w:t>
            </w:r>
            <w:r>
              <w:rPr>
                <w:rFonts w:hint="eastAsia"/>
                <w:highlight w:val="none"/>
              </w:rPr>
              <w:t>报价必须含以下部分，包括：服务的价格：应综合考虑设备、劳务、管理、材料、维护、保险、利润、税金、政策性文件规定及合同包含的应有风险、责任等各项费用；</w:t>
            </w:r>
          </w:p>
          <w:p>
            <w:pPr>
              <w:spacing w:line="400" w:lineRule="exact"/>
              <w:rPr>
                <w:rFonts w:hint="eastAsia"/>
                <w:highlight w:val="none"/>
                <w:lang w:eastAsia="zh-CN"/>
              </w:rPr>
            </w:pPr>
            <w:r>
              <w:rPr>
                <w:rFonts w:hint="eastAsia"/>
                <w:highlight w:val="none"/>
              </w:rPr>
              <w:t>2、付款条件：按季度</w:t>
            </w:r>
            <w:r>
              <w:rPr>
                <w:rFonts w:hint="eastAsia"/>
                <w:highlight w:val="none"/>
                <w:lang w:val="en-US" w:eastAsia="zh-CN"/>
              </w:rPr>
              <w:t>结算</w:t>
            </w:r>
            <w:r>
              <w:rPr>
                <w:rFonts w:hint="eastAsia"/>
                <w:highlight w:val="none"/>
                <w:lang w:eastAsia="zh-CN"/>
              </w:rPr>
              <w:t>，</w:t>
            </w:r>
            <w:r>
              <w:rPr>
                <w:rFonts w:hint="eastAsia"/>
                <w:highlight w:val="none"/>
              </w:rPr>
              <w:t>每季度初将上季度的所有</w:t>
            </w:r>
            <w:r>
              <w:rPr>
                <w:rFonts w:hint="eastAsia"/>
                <w:highlight w:val="none"/>
                <w:lang w:val="en-US" w:eastAsia="zh-CN"/>
              </w:rPr>
              <w:t>同类服务</w:t>
            </w:r>
            <w:r>
              <w:rPr>
                <w:rFonts w:hint="eastAsia"/>
                <w:highlight w:val="none"/>
              </w:rPr>
              <w:t>项目合在一起送审</w:t>
            </w:r>
            <w:r>
              <w:rPr>
                <w:rFonts w:hint="eastAsia"/>
                <w:highlight w:val="none"/>
                <w:lang w:val="en-US" w:eastAsia="zh-CN"/>
              </w:rPr>
              <w:t>后结算</w:t>
            </w:r>
            <w:r>
              <w:rPr>
                <w:rFonts w:hint="eastAsia"/>
                <w:highlight w:val="none"/>
                <w:lang w:eastAsia="zh-CN"/>
              </w:rPr>
              <w:t>。</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（1）按框架协议</w:t>
            </w:r>
            <w:r>
              <w:rPr>
                <w:rFonts w:hint="eastAsia" w:ascii="宋体" w:hAnsi="宋体" w:cs="宋体"/>
                <w:color w:val="auto"/>
                <w:szCs w:val="21"/>
                <w:highlight w:val="none"/>
                <w:lang w:eastAsia="zh-CN"/>
              </w:rPr>
              <w:t>规定的编制服务费</w:t>
            </w:r>
            <w:r>
              <w:rPr>
                <w:rFonts w:hint="eastAsia" w:ascii="宋体" w:hAnsi="宋体" w:cs="宋体"/>
                <w:color w:val="auto"/>
                <w:szCs w:val="21"/>
                <w:highlight w:val="none"/>
              </w:rPr>
              <w:t>计算</w:t>
            </w:r>
            <w:r>
              <w:rPr>
                <w:rFonts w:hint="eastAsia" w:ascii="宋体" w:hAnsi="宋体" w:cs="宋体"/>
                <w:color w:val="auto"/>
                <w:szCs w:val="21"/>
                <w:highlight w:val="none"/>
                <w:lang w:eastAsia="zh-CN"/>
              </w:rPr>
              <w:t>方式计算</w:t>
            </w:r>
            <w:r>
              <w:rPr>
                <w:rFonts w:hint="eastAsia" w:ascii="宋体" w:hAnsi="宋体" w:cs="宋体"/>
                <w:color w:val="auto"/>
                <w:szCs w:val="21"/>
                <w:highlight w:val="none"/>
              </w:rPr>
              <w:t>相应编审服务费</w:t>
            </w:r>
            <w:r>
              <w:rPr>
                <w:rFonts w:hint="eastAsia" w:ascii="宋体" w:hAnsi="宋体" w:cs="宋体"/>
                <w:color w:val="auto"/>
                <w:szCs w:val="21"/>
                <w:highlight w:val="none"/>
                <w:lang w:eastAsia="zh-CN"/>
              </w:rPr>
              <w:t>用</w:t>
            </w:r>
            <w:r>
              <w:rPr>
                <w:rFonts w:hint="eastAsia" w:ascii="宋体" w:hAnsi="宋体" w:cs="宋体"/>
                <w:color w:val="auto"/>
                <w:szCs w:val="21"/>
                <w:highlight w:val="none"/>
              </w:rPr>
              <w:t>；</w:t>
            </w:r>
          </w:p>
          <w:p>
            <w:pPr>
              <w:spacing w:line="360" w:lineRule="auto"/>
              <w:ind w:firstLine="420" w:firstLineChars="200"/>
              <w:rPr>
                <w:rFonts w:hint="eastAsia"/>
                <w:highlight w:val="none"/>
              </w:rPr>
            </w:pPr>
            <w:r>
              <w:rPr>
                <w:rFonts w:hint="eastAsia" w:ascii="宋体" w:hAnsi="宋体" w:cs="宋体"/>
                <w:color w:val="auto"/>
                <w:szCs w:val="21"/>
                <w:highlight w:val="none"/>
              </w:rPr>
              <w:t>（2）如按上述计费规定计算相应工作编审服务费少于1000元的，按1000元</w:t>
            </w:r>
            <w:r>
              <w:rPr>
                <w:rFonts w:hint="eastAsia" w:ascii="宋体" w:hAnsi="宋体" w:cs="宋体"/>
                <w:color w:val="auto"/>
                <w:szCs w:val="21"/>
                <w:highlight w:val="none"/>
                <w:lang w:val="en-US" w:eastAsia="zh-CN"/>
              </w:rPr>
              <w:t>计费</w:t>
            </w:r>
            <w:r>
              <w:rPr>
                <w:rFonts w:hint="eastAsia" w:ascii="宋体" w:hAnsi="宋体" w:cs="宋体"/>
                <w:color w:val="auto"/>
                <w:szCs w:val="21"/>
                <w:highlight w:val="none"/>
              </w:rPr>
              <w:t>。</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因采购人原因中途中止编审服务工作的，由采购人与乙方协商，按实际完成的比例计取编审服务费；因供应商原因导致编审服务工作中止的，不计取编审服务费。</w:t>
            </w:r>
          </w:p>
          <w:p>
            <w:pPr>
              <w:spacing w:line="360" w:lineRule="auto"/>
              <w:rPr>
                <w:rFonts w:hint="eastAsia"/>
                <w:highlight w:val="none"/>
                <w:lang w:eastAsia="zh-CN"/>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合同履行期间，如乙方存在违法行为，在政府采购监督管理部门调查或被行政处罚期间，甲方可视情况中止合同，并通知采购人延期支付服务费。</w:t>
            </w:r>
          </w:p>
        </w:tc>
      </w:tr>
    </w:tbl>
    <w:p>
      <w:pPr>
        <w:jc w:val="center"/>
      </w:pPr>
      <w:r>
        <w:rPr>
          <w:rFonts w:hint="eastAsia" w:ascii="宋体" w:hAnsi="宋体" w:eastAsiaTheme="minorEastAsia" w:cstheme="minorBidi"/>
          <w:b/>
          <w:bCs/>
          <w:kern w:val="2"/>
          <w:sz w:val="30"/>
          <w:szCs w:val="30"/>
          <w:highlight w:val="none"/>
          <w:lang w:val="en-US" w:eastAsia="zh-CN" w:bidi="ar-SA"/>
        </w:rPr>
        <w:t>采购需求一览表</w:t>
      </w:r>
      <w:r>
        <w:rPr>
          <w:rFonts w:hint="eastAsia" w:ascii="宋体" w:hAnsi="宋体" w:cstheme="minorBidi"/>
          <w:b/>
          <w:bCs/>
          <w:kern w:val="2"/>
          <w:sz w:val="30"/>
          <w:szCs w:val="30"/>
          <w:highlight w:val="none"/>
          <w:lang w:val="en-US" w:eastAsia="zh-CN" w:bidi="ar-SA"/>
        </w:rPr>
        <w:t>（B分标）</w:t>
      </w:r>
      <w:bookmarkStart w:id="0" w:name="_GoBack"/>
      <w:bookmarkEnd w:id="0"/>
    </w:p>
    <w:sectPr>
      <w:pgSz w:w="11906" w:h="16838"/>
      <w:pgMar w:top="1417" w:right="1587"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1OTYxMGJlMWJmNjExY2U0NjhkNjQyNTliMDRjN2UifQ=="/>
  </w:docVars>
  <w:rsids>
    <w:rsidRoot w:val="5DF5544C"/>
    <w:rsid w:val="3C7D1EA9"/>
    <w:rsid w:val="5DF5544C"/>
    <w:rsid w:val="60793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表格文字"/>
    <w:basedOn w:val="1"/>
    <w:qFormat/>
    <w:uiPriority w:val="0"/>
    <w:pPr>
      <w:spacing w:before="25" w:after="25"/>
      <w:jc w:val="left"/>
    </w:pPr>
    <w:rPr>
      <w:bCs/>
      <w:spacing w:val="10"/>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864</Words>
  <Characters>876</Characters>
  <Lines>0</Lines>
  <Paragraphs>0</Paragraphs>
  <TotalTime>0</TotalTime>
  <ScaleCrop>false</ScaleCrop>
  <LinksUpToDate>false</LinksUpToDate>
  <CharactersWithSpaces>877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2022-10-09T09:45:00Z</dcterms:created>
  <dc:creator>WPS</dc:creator>
  <cp:lastModifiedBy>WPS</cp:lastModifiedBy>
  <dcterms:modified xsi:type="dcterms:W3CDTF">2022-10-10T06:46:33Z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8035113A59804893B9D955D693EDD1F2</vt:lpwstr>
  </property>
</Properties>
</file>