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b/>
          <w:sz w:val="32"/>
        </w:rPr>
      </w:pPr>
      <w:r>
        <w:rPr>
          <w:rFonts w:hint="eastAsia"/>
          <w:b/>
          <w:sz w:val="32"/>
        </w:rPr>
        <w:t>附件1</w:t>
      </w:r>
    </w:p>
    <w:p>
      <w:pPr>
        <w:pStyle w:val="4"/>
        <w:jc w:val="center"/>
        <w:rPr>
          <w:b/>
          <w:sz w:val="32"/>
        </w:rPr>
      </w:pPr>
      <w:r>
        <w:rPr>
          <w:rFonts w:hint="eastAsia"/>
          <w:b/>
          <w:sz w:val="32"/>
        </w:rPr>
        <w:t>采购需求一览表</w:t>
      </w:r>
    </w:p>
    <w:p>
      <w:pPr>
        <w:pStyle w:val="4"/>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w:t>
      </w:r>
    </w:p>
    <w:tbl>
      <w:tblPr>
        <w:tblStyle w:val="6"/>
        <w:tblW w:w="9128"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7"/>
        <w:gridCol w:w="1695"/>
        <w:gridCol w:w="720"/>
        <w:gridCol w:w="4546"/>
        <w:gridCol w:w="13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454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采购项目的具体内容和要求</w:t>
            </w:r>
          </w:p>
        </w:tc>
        <w:tc>
          <w:tcPr>
            <w:tcW w:w="13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szCs w:val="21"/>
                <w:lang w:eastAsia="zh-CN"/>
              </w:rPr>
            </w:pPr>
            <w:r>
              <w:rPr>
                <w:rFonts w:hint="eastAsia" w:ascii="宋体" w:hAnsi="宋体"/>
                <w:b/>
                <w:szCs w:val="21"/>
                <w:lang w:eastAsia="zh-CN"/>
              </w:rPr>
              <w:t>预算上限价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szCs w:val="21"/>
                <w:lang w:val="en-US" w:eastAsia="zh-CN"/>
              </w:rPr>
            </w:pPr>
            <w:r>
              <w:rPr>
                <w:rFonts w:hint="eastAsia" w:ascii="宋体" w:hAnsi="宋体"/>
                <w:szCs w:val="21"/>
                <w:lang w:val="en-US" w:eastAsia="zh-CN"/>
              </w:rPr>
              <w:t>1</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color w:val="000000"/>
                <w:lang w:val="en-US" w:eastAsia="zh-CN"/>
              </w:rPr>
            </w:pPr>
            <w:r>
              <w:rPr>
                <w:rFonts w:hint="eastAsia" w:ascii="宋体" w:hAnsi="宋体"/>
                <w:color w:val="000000"/>
                <w:lang w:val="en-US" w:eastAsia="zh-CN"/>
              </w:rPr>
              <w:t>全自动烘干机</w:t>
            </w:r>
          </w:p>
        </w:tc>
        <w:tc>
          <w:tcPr>
            <w:tcW w:w="7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olor w:val="000000"/>
                <w:lang w:val="en-US" w:eastAsia="zh-CN"/>
              </w:rPr>
            </w:pPr>
            <w:r>
              <w:rPr>
                <w:rFonts w:hint="eastAsia" w:ascii="宋体" w:hAnsi="宋体"/>
                <w:color w:val="000000"/>
                <w:lang w:val="en-US" w:eastAsia="zh-CN"/>
              </w:rPr>
              <w:t>1</w:t>
            </w:r>
          </w:p>
        </w:tc>
        <w:tc>
          <w:tcPr>
            <w:tcW w:w="454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r>
              <w:rPr>
                <w:rFonts w:hint="eastAsia" w:asciiTheme="majorEastAsia" w:hAnsiTheme="majorEastAsia" w:eastAsiaTheme="majorEastAsia" w:cstheme="majorEastAsia"/>
                <w:color w:val="000000"/>
                <w:szCs w:val="21"/>
              </w:rPr>
              <w:t>烘干</w:t>
            </w:r>
            <w:r>
              <w:rPr>
                <w:rFonts w:hint="eastAsia" w:asciiTheme="majorEastAsia" w:hAnsiTheme="majorEastAsia" w:eastAsiaTheme="majorEastAsia" w:cstheme="majorEastAsia"/>
                <w:color w:val="000000"/>
                <w:szCs w:val="21"/>
                <w:lang w:eastAsia="zh-CN"/>
              </w:rPr>
              <w:t>机布草</w:t>
            </w:r>
            <w:r>
              <w:rPr>
                <w:rFonts w:hint="eastAsia" w:asciiTheme="majorEastAsia" w:hAnsiTheme="majorEastAsia" w:eastAsiaTheme="majorEastAsia" w:cstheme="majorEastAsia"/>
                <w:szCs w:val="21"/>
              </w:rPr>
              <w:t>额定容量≥25kg</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2、滚笼尺寸：≥直径Φ940mm×710mm</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3、供电电源：380V/50Hz</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4、驱动电机功率：0.25kW</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5、风机功率：0.25kW</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color w:val="FFFFFF" w:themeColor="background1"/>
                <w:szCs w:val="21"/>
                <w14:textFill>
                  <w14:solidFill>
                    <w14:schemeClr w14:val="bg1"/>
                  </w14:solidFill>
                </w14:textFill>
              </w:rPr>
            </w:pPr>
            <w:r>
              <w:rPr>
                <w:rFonts w:hint="eastAsia" w:asciiTheme="majorEastAsia" w:hAnsiTheme="majorEastAsia" w:eastAsiaTheme="majorEastAsia" w:cstheme="majorEastAsia"/>
                <w:szCs w:val="21"/>
              </w:rPr>
              <w:t>6、加热功率：21kW</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7、能耗比：≤1.9KW.h/Kg</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8、外形尺寸（宽×深×高）≥980×1090×1930mm</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9、整机重量≥300kg</w:t>
            </w:r>
          </w:p>
          <w:p>
            <w:pPr>
              <w:pStyle w:val="5"/>
              <w:keepNext w:val="0"/>
              <w:keepLines w:val="0"/>
              <w:pageBreakBefore w:val="0"/>
              <w:widowControl w:val="0"/>
              <w:tabs>
                <w:tab w:val="left" w:pos="4685"/>
              </w:tabs>
              <w:kinsoku/>
              <w:wordWrap/>
              <w:overflowPunct/>
              <w:topLinePunct w:val="0"/>
              <w:autoSpaceDE/>
              <w:autoSpaceDN/>
              <w:bidi w:val="0"/>
              <w:adjustRightInd/>
              <w:snapToGrid/>
              <w:spacing w:line="320" w:lineRule="exact"/>
              <w:ind w:left="6" w:firstLine="0"/>
              <w:textAlignment w:val="auto"/>
              <w:rPr>
                <w:rFonts w:hint="eastAsia" w:asciiTheme="majorEastAsia" w:hAnsiTheme="majorEastAsia" w:eastAsiaTheme="majorEastAsia" w:cstheme="majorEastAsia"/>
                <w:kern w:val="2"/>
                <w:sz w:val="21"/>
                <w:szCs w:val="21"/>
              </w:rPr>
            </w:pPr>
            <w:r>
              <w:rPr>
                <w:rFonts w:hint="eastAsia" w:asciiTheme="majorEastAsia" w:hAnsiTheme="majorEastAsia" w:eastAsiaTheme="majorEastAsia" w:cstheme="majorEastAsia"/>
                <w:kern w:val="2"/>
                <w:sz w:val="21"/>
                <w:szCs w:val="21"/>
              </w:rPr>
              <w:t>10、全电脑控制可精确设定烘干时间和烘干温度，自动显示温度；电脑控制器采用轻触式按键设计，操作灵活可靠。</w:t>
            </w:r>
          </w:p>
          <w:p>
            <w:pPr>
              <w:pStyle w:val="5"/>
              <w:keepNext w:val="0"/>
              <w:keepLines w:val="0"/>
              <w:pageBreakBefore w:val="0"/>
              <w:widowControl w:val="0"/>
              <w:tabs>
                <w:tab w:val="left" w:pos="4685"/>
              </w:tabs>
              <w:kinsoku/>
              <w:wordWrap/>
              <w:overflowPunct/>
              <w:topLinePunct w:val="0"/>
              <w:autoSpaceDE/>
              <w:autoSpaceDN/>
              <w:bidi w:val="0"/>
              <w:adjustRightInd/>
              <w:snapToGrid/>
              <w:spacing w:line="320" w:lineRule="exact"/>
              <w:ind w:left="6" w:firstLine="0"/>
              <w:textAlignment w:val="auto"/>
              <w:rPr>
                <w:rFonts w:hint="eastAsia" w:asciiTheme="majorEastAsia" w:hAnsiTheme="majorEastAsia" w:eastAsiaTheme="majorEastAsia" w:cstheme="majorEastAsia"/>
                <w:kern w:val="2"/>
                <w:sz w:val="21"/>
                <w:szCs w:val="21"/>
              </w:rPr>
            </w:pPr>
            <w:r>
              <w:rPr>
                <w:rFonts w:hint="eastAsia" w:asciiTheme="majorEastAsia" w:hAnsiTheme="majorEastAsia" w:eastAsiaTheme="majorEastAsia" w:cstheme="majorEastAsia"/>
                <w:kern w:val="2"/>
                <w:sz w:val="21"/>
                <w:szCs w:val="21"/>
              </w:rPr>
              <w:t>11、具备单向旋转和双向旋转转换功能。</w:t>
            </w:r>
          </w:p>
          <w:p>
            <w:pPr>
              <w:pStyle w:val="5"/>
              <w:keepNext w:val="0"/>
              <w:keepLines w:val="0"/>
              <w:pageBreakBefore w:val="0"/>
              <w:widowControl w:val="0"/>
              <w:tabs>
                <w:tab w:val="left" w:pos="4685"/>
              </w:tabs>
              <w:kinsoku/>
              <w:wordWrap/>
              <w:overflowPunct/>
              <w:topLinePunct w:val="0"/>
              <w:autoSpaceDE/>
              <w:autoSpaceDN/>
              <w:bidi w:val="0"/>
              <w:adjustRightInd/>
              <w:snapToGrid/>
              <w:spacing w:line="320" w:lineRule="exact"/>
              <w:ind w:left="6" w:firstLine="0"/>
              <w:textAlignment w:val="auto"/>
              <w:rPr>
                <w:rFonts w:hint="eastAsia" w:asciiTheme="majorEastAsia" w:hAnsiTheme="majorEastAsia" w:eastAsiaTheme="majorEastAsia" w:cstheme="majorEastAsia"/>
                <w:kern w:val="2"/>
                <w:sz w:val="21"/>
                <w:szCs w:val="21"/>
              </w:rPr>
            </w:pPr>
            <w:r>
              <w:rPr>
                <w:rFonts w:ascii="仿宋" w:hAnsi="仿宋" w:eastAsia="仿宋"/>
                <w:color w:val="auto"/>
                <w:kern w:val="2"/>
                <w:sz w:val="21"/>
                <w:szCs w:val="21"/>
              </w:rPr>
              <w:t>1</w:t>
            </w:r>
            <w:r>
              <w:rPr>
                <w:rFonts w:hint="eastAsia" w:asciiTheme="majorEastAsia" w:hAnsiTheme="majorEastAsia" w:eastAsiaTheme="majorEastAsia" w:cstheme="majorEastAsia"/>
                <w:color w:val="auto"/>
                <w:kern w:val="2"/>
                <w:sz w:val="21"/>
                <w:szCs w:val="21"/>
              </w:rPr>
              <w:t>2</w:t>
            </w:r>
            <w:r>
              <w:rPr>
                <w:rFonts w:hint="eastAsia" w:asciiTheme="majorEastAsia" w:hAnsiTheme="majorEastAsia" w:eastAsiaTheme="majorEastAsia" w:cstheme="majorEastAsia"/>
                <w:kern w:val="2"/>
                <w:sz w:val="21"/>
                <w:szCs w:val="21"/>
              </w:rPr>
              <w:t>、采用不锈钢管，铝片散热片, 6排10管的加热器，热交换快，热能利用高。</w:t>
            </w:r>
          </w:p>
          <w:p>
            <w:pPr>
              <w:pStyle w:val="5"/>
              <w:keepNext w:val="0"/>
              <w:keepLines w:val="0"/>
              <w:pageBreakBefore w:val="0"/>
              <w:widowControl w:val="0"/>
              <w:tabs>
                <w:tab w:val="left" w:pos="4685"/>
              </w:tabs>
              <w:kinsoku/>
              <w:wordWrap/>
              <w:overflowPunct/>
              <w:topLinePunct w:val="0"/>
              <w:autoSpaceDE/>
              <w:autoSpaceDN/>
              <w:bidi w:val="0"/>
              <w:adjustRightInd/>
              <w:snapToGrid/>
              <w:spacing w:line="320" w:lineRule="exact"/>
              <w:ind w:left="6" w:firstLine="0"/>
              <w:textAlignment w:val="auto"/>
              <w:rPr>
                <w:rFonts w:hint="eastAsia" w:asciiTheme="majorEastAsia" w:hAnsiTheme="majorEastAsia" w:eastAsiaTheme="majorEastAsia" w:cstheme="majorEastAsia"/>
                <w:kern w:val="2"/>
                <w:sz w:val="21"/>
                <w:szCs w:val="21"/>
              </w:rPr>
            </w:pPr>
            <w:r>
              <w:rPr>
                <w:rFonts w:hint="eastAsia" w:asciiTheme="majorEastAsia" w:hAnsiTheme="majorEastAsia" w:eastAsiaTheme="majorEastAsia" w:cstheme="majorEastAsia"/>
                <w:kern w:val="2"/>
                <w:sz w:val="21"/>
                <w:szCs w:val="21"/>
              </w:rPr>
              <w:t>13、采用超大直径口径为584mm装载门，装卸衣物方便。安全联锁装置确保装衣门打开状态下机器无法启动。</w:t>
            </w:r>
          </w:p>
          <w:p>
            <w:pPr>
              <w:pStyle w:val="5"/>
              <w:keepNext w:val="0"/>
              <w:keepLines w:val="0"/>
              <w:pageBreakBefore w:val="0"/>
              <w:widowControl w:val="0"/>
              <w:tabs>
                <w:tab w:val="left" w:pos="4685"/>
              </w:tabs>
              <w:kinsoku/>
              <w:wordWrap/>
              <w:overflowPunct/>
              <w:topLinePunct w:val="0"/>
              <w:autoSpaceDE/>
              <w:autoSpaceDN/>
              <w:bidi w:val="0"/>
              <w:adjustRightInd/>
              <w:snapToGrid/>
              <w:spacing w:line="320" w:lineRule="exact"/>
              <w:ind w:left="6" w:firstLine="0"/>
              <w:textAlignment w:val="auto"/>
              <w:rPr>
                <w:rFonts w:hint="eastAsia" w:asciiTheme="majorEastAsia" w:hAnsiTheme="majorEastAsia" w:eastAsiaTheme="majorEastAsia" w:cstheme="majorEastAsia"/>
                <w:kern w:val="2"/>
                <w:sz w:val="21"/>
                <w:szCs w:val="21"/>
              </w:rPr>
            </w:pPr>
            <w:r>
              <w:rPr>
                <w:rFonts w:hint="eastAsia" w:asciiTheme="majorEastAsia" w:hAnsiTheme="majorEastAsia" w:eastAsiaTheme="majorEastAsia" w:cstheme="majorEastAsia"/>
                <w:kern w:val="2"/>
                <w:sz w:val="21"/>
                <w:szCs w:val="21"/>
              </w:rPr>
              <w:t>14、毛绒收集器采用抽屉式结构，拉出即可清洁；大面积通孔率确保风道的畅通，风机叶轮直径275mm，高度101mm，为多叶片（44片）离心式叶轮，不容易堵塞毛绒。</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kern w:val="2"/>
                <w:sz w:val="21"/>
                <w:szCs w:val="21"/>
                <w:lang w:val="en-US" w:eastAsia="zh-CN" w:bidi="ar"/>
              </w:rPr>
            </w:pPr>
          </w:p>
        </w:tc>
        <w:tc>
          <w:tcPr>
            <w:tcW w:w="13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lang w:val="en-US" w:eastAsia="zh-CN"/>
              </w:rPr>
            </w:pPr>
            <w:r>
              <w:rPr>
                <w:rFonts w:hint="eastAsia"/>
                <w:lang w:val="en-US" w:eastAsia="zh-CN"/>
              </w:rPr>
              <w:t>3万元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2532" w:type="dxa"/>
            <w:gridSpan w:val="2"/>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6596" w:type="dxa"/>
            <w:gridSpan w:val="3"/>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numPr>
                <w:ilvl w:val="0"/>
                <w:numId w:val="0"/>
              </w:numPr>
              <w:kinsoku/>
              <w:wordWrap/>
              <w:overflowPunct/>
              <w:topLinePunct w:val="0"/>
              <w:autoSpaceDE/>
              <w:autoSpaceDN/>
              <w:bidi w:val="0"/>
              <w:adjustRightInd/>
              <w:snapToGrid/>
              <w:spacing w:line="320" w:lineRule="exact"/>
              <w:ind w:left="6" w:leftChars="0"/>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一、</w:t>
            </w:r>
            <w:r>
              <w:rPr>
                <w:rFonts w:hint="eastAsia" w:asciiTheme="majorEastAsia" w:hAnsiTheme="majorEastAsia" w:eastAsiaTheme="majorEastAsia" w:cstheme="majorEastAsia"/>
                <w:szCs w:val="21"/>
              </w:rPr>
              <w:t>投标报价要求：本项目为交钥匙工程，实行总承包报价；包括货物采购、项目方案、运输、保管、设计、安装、调试、验收、培训等各种费用和售后服务、税金及其它所有成本费用的总和。投标人应充分考虑施工期间各类材料的市场价格变化和可能的国家政策性调整，确定风险系数，对本项目的所有内容范围的设备及安装进行总承包报价。</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二、</w:t>
            </w:r>
            <w:r>
              <w:rPr>
                <w:rFonts w:hint="eastAsia" w:asciiTheme="majorEastAsia" w:hAnsiTheme="majorEastAsia" w:eastAsiaTheme="majorEastAsia" w:cstheme="majorEastAsia"/>
                <w:szCs w:val="21"/>
              </w:rPr>
              <w:t>投标报价包含土建与洗衣房内总体安装</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注：投标人自行考虑完成项目所需的辅材、杂配件等数量，本项目为交钥匙项目，投标报价中应包含全部内容，中标后采购人不再另行支付额外费用；投标人根据项目所需自行配备的所有辅助材料必须符合国家有关规定的合格产品。</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三、质保期：质保期从设备通过验收之日起计算，按国家有关产品“三包”规定执行“三包”；不少于1年免费保修，负责终身维护。保修期后维修只收取材料工本费。</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四、售后服务要求：质保期内免费维修、免费更换零部件，服务内容如下：</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1、按国家有关规定或厂家承诺实行“三包”，自验收合格后全免费上门，整机保修期限以货物需求一览表中备注的年限为准，如以上设备没有备注年限的以厂家承诺的保修期为准。</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接到用户故障通知后，竞标人或厂家维保人员须在2小时内给予答复，需要到现场解决的，到达时间不得超过6小时，竞标时提供故障无法排除时的应急解决方案、声明有无定期回访、有无其他增值服务、必须在在广西区内配有（含3名以上）维修工程师，并提供工程师名单等。</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3、负责对操作人员的培训，并且负责对甲方2名设备维修工程师进行外出技术培训，是厂家培训。</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4、提供国内维修站名单；提供国内原厂备件库、备件名单。</w:t>
            </w:r>
          </w:p>
          <w:p>
            <w:pPr>
              <w:keepNext w:val="0"/>
              <w:keepLines w:val="0"/>
              <w:pageBreakBefore w:val="0"/>
              <w:widowControl w:val="0"/>
              <w:kinsoku/>
              <w:wordWrap/>
              <w:overflowPunct/>
              <w:topLinePunct w:val="0"/>
              <w:autoSpaceDE/>
              <w:autoSpaceDN/>
              <w:bidi w:val="0"/>
              <w:adjustRightInd/>
              <w:snapToGrid/>
              <w:spacing w:line="320" w:lineRule="exact"/>
              <w:ind w:left="6"/>
              <w:jc w:val="left"/>
              <w:textAlignment w:val="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5、投标人或产品制造厂家、区域总代理应能提供完善售后服务的承诺。</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rPr>
            </w:pPr>
            <w:r>
              <w:rPr>
                <w:rFonts w:hint="eastAsia" w:asciiTheme="majorEastAsia" w:hAnsiTheme="majorEastAsia" w:eastAsiaTheme="majorEastAsia" w:cstheme="majorEastAsia"/>
                <w:lang w:eastAsia="zh-CN"/>
              </w:rPr>
              <w:t>五</w:t>
            </w:r>
            <w:r>
              <w:rPr>
                <w:rFonts w:hint="eastAsia" w:asciiTheme="majorEastAsia" w:hAnsiTheme="majorEastAsia" w:eastAsiaTheme="majorEastAsia" w:cstheme="majorEastAsia"/>
              </w:rPr>
              <w:t>、合同签订期：自采购结果公告结束之日起7个工作日内。</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rPr>
            </w:pPr>
            <w:r>
              <w:rPr>
                <w:rFonts w:hint="eastAsia" w:asciiTheme="majorEastAsia" w:hAnsiTheme="majorEastAsia" w:eastAsiaTheme="majorEastAsia" w:cstheme="majorEastAsia"/>
                <w:lang w:eastAsia="zh-CN"/>
              </w:rPr>
              <w:t>六</w:t>
            </w:r>
            <w:r>
              <w:rPr>
                <w:rFonts w:hint="eastAsia" w:asciiTheme="majorEastAsia" w:hAnsiTheme="majorEastAsia" w:eastAsiaTheme="majorEastAsia" w:cstheme="majorEastAsia"/>
              </w:rPr>
              <w:t>、交货期：自合同签订之日起</w:t>
            </w:r>
            <w:r>
              <w:rPr>
                <w:rFonts w:hint="eastAsia" w:asciiTheme="majorEastAsia" w:hAnsiTheme="majorEastAsia" w:eastAsiaTheme="majorEastAsia" w:cstheme="majorEastAsia"/>
                <w:lang w:val="en-US" w:eastAsia="zh-CN"/>
              </w:rPr>
              <w:t>10</w:t>
            </w:r>
            <w:r>
              <w:rPr>
                <w:rFonts w:hint="eastAsia" w:asciiTheme="majorEastAsia" w:hAnsiTheme="majorEastAsia" w:eastAsiaTheme="majorEastAsia" w:cstheme="majorEastAsia"/>
              </w:rPr>
              <w:t>日内。</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rPr>
            </w:pPr>
            <w:r>
              <w:rPr>
                <w:rFonts w:hint="eastAsia" w:asciiTheme="majorEastAsia" w:hAnsiTheme="majorEastAsia" w:eastAsiaTheme="majorEastAsia" w:cstheme="majorEastAsia"/>
                <w:lang w:eastAsia="zh-CN"/>
              </w:rPr>
              <w:t>七</w:t>
            </w:r>
            <w:r>
              <w:rPr>
                <w:rFonts w:hint="eastAsia" w:asciiTheme="majorEastAsia" w:hAnsiTheme="majorEastAsia" w:eastAsiaTheme="majorEastAsia" w:cstheme="majorEastAsia"/>
              </w:rPr>
              <w:t>、交货地点：</w:t>
            </w:r>
            <w:r>
              <w:rPr>
                <w:rFonts w:hint="eastAsia" w:asciiTheme="majorEastAsia" w:hAnsiTheme="majorEastAsia" w:eastAsiaTheme="majorEastAsia" w:cstheme="majorEastAsia"/>
                <w:lang w:eastAsia="zh-CN"/>
              </w:rPr>
              <w:t>采购人</w:t>
            </w:r>
            <w:r>
              <w:rPr>
                <w:rFonts w:hint="eastAsia" w:asciiTheme="majorEastAsia" w:hAnsiTheme="majorEastAsia" w:eastAsiaTheme="majorEastAsia" w:cstheme="majorEastAsia"/>
                <w:szCs w:val="21"/>
              </w:rPr>
              <w:t>指定地点</w:t>
            </w:r>
            <w:r>
              <w:rPr>
                <w:rFonts w:hint="eastAsia" w:asciiTheme="majorEastAsia" w:hAnsiTheme="majorEastAsia" w:eastAsiaTheme="majorEastAsia" w:cstheme="majorEastAsia"/>
              </w:rPr>
              <w:t xml:space="preserve">。          </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rPr>
            </w:pPr>
            <w:r>
              <w:rPr>
                <w:rFonts w:hint="eastAsia" w:asciiTheme="majorEastAsia" w:hAnsiTheme="majorEastAsia" w:eastAsiaTheme="majorEastAsia" w:cstheme="majorEastAsia"/>
                <w:lang w:eastAsia="zh-CN"/>
              </w:rPr>
              <w:t>八</w:t>
            </w:r>
            <w:r>
              <w:rPr>
                <w:rFonts w:hint="eastAsia" w:asciiTheme="majorEastAsia" w:hAnsiTheme="majorEastAsia" w:eastAsiaTheme="majorEastAsia" w:cstheme="majorEastAsia"/>
              </w:rPr>
              <w:t>、交货方式及要求：</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rPr>
            </w:pPr>
            <w:r>
              <w:rPr>
                <w:rFonts w:hint="eastAsia" w:asciiTheme="majorEastAsia" w:hAnsiTheme="majorEastAsia" w:eastAsiaTheme="majorEastAsia" w:cstheme="majorEastAsia"/>
              </w:rPr>
              <w:t>1、交货方式：现场交货。</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rPr>
            </w:pPr>
            <w:r>
              <w:rPr>
                <w:rFonts w:hint="eastAsia" w:asciiTheme="majorEastAsia" w:hAnsiTheme="majorEastAsia" w:eastAsiaTheme="majorEastAsia" w:cstheme="majorEastAsia"/>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rPr>
            </w:pPr>
            <w:r>
              <w:rPr>
                <w:rFonts w:hint="eastAsia" w:asciiTheme="majorEastAsia" w:hAnsiTheme="majorEastAsia" w:eastAsiaTheme="majorEastAsia" w:cstheme="majorEastAsia"/>
                <w:lang w:eastAsia="zh-CN"/>
              </w:rPr>
              <w:t>九</w:t>
            </w:r>
            <w:r>
              <w:rPr>
                <w:rFonts w:hint="eastAsia" w:asciiTheme="majorEastAsia" w:hAnsiTheme="majorEastAsia" w:eastAsiaTheme="majorEastAsia" w:cstheme="majorEastAsia"/>
              </w:rPr>
              <w:t>、验收方式及要求：</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rPr>
            </w:pPr>
            <w:r>
              <w:rPr>
                <w:rFonts w:hint="eastAsia" w:asciiTheme="majorEastAsia" w:hAnsiTheme="majorEastAsia" w:eastAsiaTheme="majorEastAsia" w:cstheme="majorEastAsia"/>
              </w:rPr>
              <w:t>1、交货时，产品均严格按谈判文件上的技术参数实质要求，采购单位按竞标人响应和承诺的技术参数及性能和国家有关标准进行验收，达不到要求的不予验收，视为产品验收不合格，并且保留追究成交供应商虚假相应的法律责任。</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rPr>
            </w:pPr>
            <w:r>
              <w:rPr>
                <w:rFonts w:hint="eastAsia" w:asciiTheme="majorEastAsia" w:hAnsiTheme="majorEastAsia" w:eastAsiaTheme="majorEastAsia" w:cstheme="majorEastAsia"/>
              </w:rPr>
              <w:t>2、按要求供货到现场(包括包装、卸货)及安装调试。安装标准及验收标准：符合我国国家有关技术规范和技术标准。如果不能按进度要求供货，采购人有权终止合同，由此引起的全部责任由出成交供应商负责。</w:t>
            </w:r>
          </w:p>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olor w:val="auto"/>
                <w:szCs w:val="21"/>
              </w:rPr>
            </w:pPr>
            <w:r>
              <w:rPr>
                <w:rFonts w:hint="eastAsia" w:asciiTheme="majorEastAsia" w:hAnsiTheme="majorEastAsia" w:eastAsiaTheme="majorEastAsia" w:cstheme="majorEastAsia"/>
                <w:lang w:eastAsia="zh-CN"/>
              </w:rPr>
              <w:t>十、</w:t>
            </w:r>
            <w:r>
              <w:rPr>
                <w:rFonts w:hint="eastAsia" w:asciiTheme="majorEastAsia" w:hAnsiTheme="majorEastAsia" w:eastAsiaTheme="majorEastAsia" w:cstheme="majorEastAsia"/>
              </w:rPr>
              <w:t>付款方式：供应商交货完毕并验收合格后，一次性支付合同款（付款前成交供应商需开具等额合规的增值税普通发票）。</w:t>
            </w:r>
          </w:p>
        </w:tc>
      </w:tr>
    </w:tbl>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使用科室：后勤科</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确认人：</w:t>
      </w:r>
    </w:p>
    <w:p>
      <w:pPr>
        <w:pStyle w:val="3"/>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日  期：</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4F205215"/>
    <w:rsid w:val="09B12778"/>
    <w:rsid w:val="0CB33785"/>
    <w:rsid w:val="0FA42661"/>
    <w:rsid w:val="0FEE63EF"/>
    <w:rsid w:val="15012710"/>
    <w:rsid w:val="1D1B54F2"/>
    <w:rsid w:val="20BA4894"/>
    <w:rsid w:val="299B0040"/>
    <w:rsid w:val="2A4115D7"/>
    <w:rsid w:val="2B307AC9"/>
    <w:rsid w:val="37AB3261"/>
    <w:rsid w:val="39773EAF"/>
    <w:rsid w:val="454060B5"/>
    <w:rsid w:val="4F205215"/>
    <w:rsid w:val="564928DA"/>
    <w:rsid w:val="57FD26B1"/>
    <w:rsid w:val="5B465AE2"/>
    <w:rsid w:val="64547CB0"/>
    <w:rsid w:val="65F12DB4"/>
    <w:rsid w:val="6A7C159A"/>
    <w:rsid w:val="72C23E89"/>
    <w:rsid w:val="79B1564D"/>
    <w:rsid w:val="7AE846D5"/>
    <w:rsid w:val="7B9B1AA6"/>
    <w:rsid w:val="7C0E0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Indent 2"/>
    <w:basedOn w:val="1"/>
    <w:qFormat/>
    <w:uiPriority w:val="0"/>
    <w:pPr>
      <w:ind w:firstLine="630"/>
    </w:pPr>
    <w:rPr>
      <w:kern w:val="0"/>
      <w:sz w:val="32"/>
      <w:szCs w:val="20"/>
    </w:rPr>
  </w:style>
  <w:style w:type="character" w:customStyle="1" w:styleId="8">
    <w:name w:val="style23"/>
    <w:basedOn w:val="7"/>
    <w:qFormat/>
    <w:uiPriority w:val="0"/>
    <w:rPr>
      <w:rFonts w:ascii="Times New Roman" w:hAnsi="Times New Roman" w:eastAsia="宋体" w:cs="Times New Roman"/>
    </w:rPr>
  </w:style>
  <w:style w:type="paragraph" w:customStyle="1" w:styleId="9">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334</Words>
  <Characters>370</Characters>
  <Lines>0</Lines>
  <Paragraphs>0</Paragraphs>
  <TotalTime>5</TotalTime>
  <ScaleCrop>false</ScaleCrop>
  <LinksUpToDate>false</LinksUpToDate>
  <CharactersWithSpaces>371</CharactersWithSpaces>
  <Application>WPS Office_11.1.0.8919_F1E327BC-269C-435d-A152-05C5408002CA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史贝贝</cp:lastModifiedBy>
  <cp:lastPrinted>2022-10-24T02:58:41Z</cp:lastPrinted>
  <dcterms:modified xsi:type="dcterms:W3CDTF">2022-10-24T02:58:52Z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y fmtid="{D5CDD505-2E9C-101B-9397-08002B2CF9AE}" pid="3" name="ICV">
    <vt:lpwstr>C80ADB434652476CA3535D3345BB208A</vt:lpwstr>
  </property>
</Properties>
</file>