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sz w:val="30"/>
          <w:szCs w:val="30"/>
          <w:highlight w:val="none"/>
        </w:rPr>
      </w:pPr>
      <w:r>
        <w:rPr>
          <w:rFonts w:hint="eastAsia" w:ascii="仿宋" w:hAnsi="仿宋" w:eastAsia="仿宋"/>
          <w:b/>
          <w:bCs/>
          <w:sz w:val="30"/>
          <w:szCs w:val="30"/>
          <w:highlight w:val="none"/>
        </w:rPr>
        <w:t>附件1</w:t>
      </w:r>
    </w:p>
    <w:p>
      <w:pPr>
        <w:spacing w:line="520" w:lineRule="exact"/>
        <w:ind w:firstLine="602" w:firstLineChars="200"/>
        <w:jc w:val="center"/>
        <w:rPr>
          <w:rFonts w:hint="eastAsia" w:ascii="仿宋" w:hAnsi="仿宋" w:eastAsia="仿宋"/>
          <w:b/>
          <w:bCs/>
          <w:sz w:val="30"/>
          <w:szCs w:val="30"/>
          <w:highlight w:val="none"/>
        </w:rPr>
      </w:pPr>
    </w:p>
    <w:p>
      <w:pPr>
        <w:spacing w:line="520" w:lineRule="exact"/>
        <w:ind w:firstLine="723" w:firstLineChars="200"/>
        <w:jc w:val="center"/>
        <w:rPr>
          <w:rFonts w:hint="eastAsia" w:ascii="仿宋" w:hAnsi="仿宋" w:eastAsia="仿宋" w:cs="Times New Roman"/>
          <w:b/>
          <w:bCs/>
          <w:sz w:val="36"/>
          <w:szCs w:val="36"/>
          <w:highlight w:val="none"/>
        </w:rPr>
      </w:pPr>
      <w:bookmarkStart w:id="0" w:name="_GoBack"/>
      <w:r>
        <w:rPr>
          <w:rFonts w:hint="eastAsia" w:ascii="仿宋" w:hAnsi="仿宋" w:eastAsia="仿宋" w:cs="Times New Roman"/>
          <w:b/>
          <w:bCs/>
          <w:sz w:val="36"/>
          <w:szCs w:val="36"/>
          <w:highlight w:val="none"/>
        </w:rPr>
        <w:t>南宁中心血站</w:t>
      </w:r>
      <w:r>
        <w:rPr>
          <w:rFonts w:hint="eastAsia" w:ascii="仿宋" w:hAnsi="仿宋" w:eastAsia="仿宋" w:cs="Times New Roman"/>
          <w:b/>
          <w:bCs/>
          <w:sz w:val="36"/>
          <w:szCs w:val="36"/>
          <w:highlight w:val="none"/>
          <w:lang w:val="en-US" w:eastAsia="zh-CN"/>
        </w:rPr>
        <w:t>危旧房改住房项目乘客电梯</w:t>
      </w:r>
      <w:r>
        <w:rPr>
          <w:rFonts w:hint="eastAsia" w:ascii="仿宋" w:hAnsi="仿宋" w:eastAsia="仿宋" w:cs="Times New Roman"/>
          <w:b/>
          <w:bCs/>
          <w:sz w:val="36"/>
          <w:szCs w:val="36"/>
          <w:highlight w:val="none"/>
        </w:rPr>
        <w:t>项目基本情况及需求</w:t>
      </w:r>
      <w:bookmarkEnd w:id="0"/>
    </w:p>
    <w:tbl>
      <w:tblPr>
        <w:tblStyle w:val="3"/>
        <w:tblpPr w:leftFromText="180" w:rightFromText="180" w:vertAnchor="text" w:horzAnchor="page" w:tblpX="674" w:tblpY="173"/>
        <w:tblOverlap w:val="never"/>
        <w:tblW w:w="108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0"/>
        <w:gridCol w:w="788"/>
        <w:gridCol w:w="725"/>
        <w:gridCol w:w="1200"/>
        <w:gridCol w:w="912"/>
        <w:gridCol w:w="6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8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序号</w:t>
            </w:r>
          </w:p>
        </w:tc>
        <w:tc>
          <w:tcPr>
            <w:tcW w:w="7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名称</w:t>
            </w:r>
          </w:p>
        </w:tc>
        <w:tc>
          <w:tcPr>
            <w:tcW w:w="7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单位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计划采购数量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采购预算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</w:pP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基本情况及需求</w:t>
            </w:r>
          </w:p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1</w:t>
            </w:r>
          </w:p>
        </w:tc>
        <w:tc>
          <w:tcPr>
            <w:tcW w:w="7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1#楼乘客电梯</w:t>
            </w:r>
          </w:p>
        </w:tc>
        <w:tc>
          <w:tcPr>
            <w:tcW w:w="7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  <w:lang w:eastAsia="zh-CN"/>
              </w:rPr>
              <w:t>台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  <w:lang w:val="en-US" w:eastAsia="zh-CN"/>
              </w:rPr>
              <w:t>/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spacing w:line="380" w:lineRule="exact"/>
              <w:jc w:val="left"/>
              <w:rPr>
                <w:rFonts w:hint="eastAsia" w:ascii="仿宋_GB2312" w:hAnsi="宋体" w:eastAsia="仿宋_GB2312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  <w:szCs w:val="28"/>
              </w:rPr>
              <w:t>DT1为消防电梯兼无障碍、担架电梯；DT2为消防电梯；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2、额定载重量：≥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highlight w:val="none"/>
              </w:rPr>
              <w:t>1050公斤；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3、额定速度：≥2.0米／秒；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4、层／站／门：20层20站20门；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5、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停站顺序：-1F,-2F,-3F，1F，2F,……17F；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6、轿厢净尺寸（宽×深×高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）: 1600mm×1500mm×2500mm；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7、井道净空尺寸（宽×深）：2200mm×2200mm；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8、顶层净高：4700mm；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9、底坑净深：1900mm；</w:t>
            </w:r>
          </w:p>
          <w:p>
            <w:pPr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10、提升高度：58.40m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11、开门尺寸：900mm×2100mm；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12、预留门洞宽×高：1100mm×2200mm；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13、开门方式：中分门；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14、机房位置：井道顶部；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15、控制方式：并联；</w:t>
            </w:r>
          </w:p>
          <w:p>
            <w:pPr>
              <w:widowControl/>
              <w:spacing w:line="380" w:lineRule="exact"/>
              <w:jc w:val="lef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16、供电方式供电方式：三相五线制：动力电源：AC380V±10%，50Hz±1Hz；照明电源：AC220V±10%，50Hz±1Hz。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8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  <w:lang w:val="en-US" w:eastAsia="zh-CN"/>
              </w:rPr>
              <w:t>2</w:t>
            </w:r>
          </w:p>
        </w:tc>
        <w:tc>
          <w:tcPr>
            <w:tcW w:w="788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</w:rPr>
              <w:t>2-1#及2-2#楼乘客电梯</w:t>
            </w:r>
          </w:p>
        </w:tc>
        <w:tc>
          <w:tcPr>
            <w:tcW w:w="725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  <w:lang w:eastAsia="zh-CN"/>
              </w:rPr>
              <w:t>台</w:t>
            </w:r>
          </w:p>
        </w:tc>
        <w:tc>
          <w:tcPr>
            <w:tcW w:w="1200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highlight w:val="none"/>
                <w:lang w:val="en-US" w:eastAsia="zh-CN"/>
              </w:rPr>
              <w:t>4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/</w:t>
            </w:r>
          </w:p>
        </w:tc>
        <w:tc>
          <w:tcPr>
            <w:tcW w:w="6450" w:type="dxa"/>
            <w:noWrap w:val="0"/>
            <w:vAlign w:val="center"/>
          </w:tcPr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Cs/>
                <w:kern w:val="0"/>
                <w:sz w:val="28"/>
                <w:szCs w:val="28"/>
              </w:rPr>
              <w:t>1、每栋楼共2台电梯，编号均为DT1、DT2；其中DT1为消防电梯兼无障碍、担架电梯；DT2为消防电梯；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2、额定载重量：≥1050公斤；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3、额定速度：≥2.0米／秒；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4、层／站／门：37层37站37门；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5、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停站顺序：-1F,-2F,-3F，1F，2F,……34F；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6、轿厢净尺寸（宽×深×高</w:t>
            </w: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）: 1600mm×1500mm×2500mm；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7、井道净空尺寸（宽×深）：2200mm×2200mm；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8、顶层净高：5100mm；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9、底坑净深：1900mm；</w:t>
            </w:r>
          </w:p>
          <w:p>
            <w:pPr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sz w:val="28"/>
                <w:szCs w:val="28"/>
              </w:rPr>
              <w:t>10、提升高度：108.75m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 xml:space="preserve"> 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11、开门尺寸：900mm×2100mm；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12、预留门洞宽×高：1100mm×2200mm；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13、开门方式：中分门；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 w:val="28"/>
                <w:szCs w:val="28"/>
              </w:rPr>
              <w:t>14、机房位置：井道顶部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；</w:t>
            </w:r>
          </w:p>
          <w:p>
            <w:pPr>
              <w:widowControl/>
              <w:spacing w:line="380" w:lineRule="exact"/>
              <w:jc w:val="left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15、控制方式：并联；</w:t>
            </w:r>
          </w:p>
          <w:p>
            <w:pPr>
              <w:widowControl/>
              <w:spacing w:line="380" w:lineRule="exact"/>
              <w:jc w:val="left"/>
              <w:rPr>
                <w:rFonts w:ascii="仿宋" w:hAnsi="仿宋" w:eastAsia="仿宋"/>
                <w:b/>
                <w:bCs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16、供电方式供电方式：三相五线制：动力电源：AC380V±10%，50Hz±1Hz；照明电源：AC220V±10%，50Hz±1Hz。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31D794"/>
    <w:multiLevelType w:val="singleLevel"/>
    <w:tmpl w:val="3131D79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OTYxMGJlMWJmNjExY2U0NjhkNjQyNTliMDRjN2UifQ=="/>
  </w:docVars>
  <w:rsids>
    <w:rsidRoot w:val="25695B00"/>
    <w:rsid w:val="25695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2023-01-05T07:57:00Z</dcterms:created>
  <dc:creator>WPS</dc:creator>
  <cp:lastModifiedBy>WPS</cp:lastModifiedBy>
  <dcterms:modified xsi:type="dcterms:W3CDTF">2023-01-05T07:58:09Z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8FB5C46585B7434E99D0866A0345B81F</vt:lpwstr>
  </property>
</Properties>
</file>