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left"/>
        <w:rPr>
          <w:rFonts w:hint="eastAsia" w:ascii="仿宋" w:hAnsi="仿宋" w:eastAsia="仿宋"/>
          <w:b/>
          <w:bCs/>
          <w:sz w:val="30"/>
          <w:szCs w:val="30"/>
          <w:highlight w:val="none"/>
          <w:lang w:val="en-US" w:eastAsia="zh-CN"/>
        </w:rPr>
      </w:pPr>
      <w:r>
        <w:rPr>
          <w:rFonts w:hint="eastAsia" w:ascii="仿宋" w:hAnsi="仿宋" w:eastAsia="仿宋"/>
          <w:b/>
          <w:bCs/>
          <w:sz w:val="30"/>
          <w:szCs w:val="30"/>
          <w:highlight w:val="none"/>
        </w:rPr>
        <w:t>附件</w:t>
      </w:r>
      <w:r>
        <w:rPr>
          <w:rFonts w:hint="eastAsia" w:ascii="仿宋" w:hAnsi="仿宋" w:eastAsia="仿宋"/>
          <w:b/>
          <w:bCs/>
          <w:sz w:val="30"/>
          <w:szCs w:val="30"/>
          <w:highlight w:val="none"/>
          <w:lang w:val="en-US" w:eastAsia="zh-CN"/>
        </w:rPr>
        <w:t>2</w:t>
      </w:r>
    </w:p>
    <w:p>
      <w:pPr>
        <w:spacing w:line="520" w:lineRule="exact"/>
        <w:ind w:firstLine="723" w:firstLineChars="200"/>
        <w:jc w:val="center"/>
        <w:rPr>
          <w:rFonts w:ascii="仿宋" w:hAnsi="仿宋" w:eastAsia="仿宋"/>
          <w:b/>
          <w:bCs/>
          <w:sz w:val="36"/>
          <w:szCs w:val="36"/>
          <w:highlight w:val="none"/>
        </w:rPr>
      </w:pPr>
      <w:bookmarkStart w:id="0" w:name="_GoBack"/>
      <w:r>
        <w:rPr>
          <w:rFonts w:hint="eastAsia" w:ascii="仿宋" w:hAnsi="仿宋" w:eastAsia="仿宋"/>
          <w:b/>
          <w:bCs/>
          <w:sz w:val="36"/>
          <w:szCs w:val="36"/>
          <w:highlight w:val="none"/>
        </w:rPr>
        <w:t>南宁中心血站</w:t>
      </w:r>
      <w:r>
        <w:rPr>
          <w:rFonts w:hint="eastAsia" w:ascii="仿宋" w:hAnsi="仿宋" w:eastAsia="仿宋"/>
          <w:b/>
          <w:bCs/>
          <w:sz w:val="36"/>
          <w:szCs w:val="36"/>
          <w:highlight w:val="none"/>
          <w:lang w:val="en-US" w:eastAsia="zh-CN"/>
        </w:rPr>
        <w:t>危旧房改住房项目乘客电梯</w:t>
      </w:r>
      <w:r>
        <w:rPr>
          <w:rFonts w:hint="eastAsia" w:ascii="仿宋" w:hAnsi="仿宋" w:eastAsia="仿宋"/>
          <w:b/>
          <w:bCs/>
          <w:sz w:val="36"/>
          <w:szCs w:val="36"/>
          <w:highlight w:val="none"/>
        </w:rPr>
        <w:t>项目参数征集表</w:t>
      </w:r>
    </w:p>
    <w:bookmarkEnd w:id="0"/>
    <w:tbl>
      <w:tblPr>
        <w:tblStyle w:val="2"/>
        <w:tblW w:w="10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745"/>
        <w:gridCol w:w="644"/>
        <w:gridCol w:w="818"/>
        <w:gridCol w:w="1000"/>
        <w:gridCol w:w="7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序号</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货物名称</w:t>
            </w:r>
          </w:p>
        </w:tc>
        <w:tc>
          <w:tcPr>
            <w:tcW w:w="644"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数量</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hint="eastAsia" w:ascii="仿宋" w:hAnsi="仿宋" w:eastAsia="仿宋"/>
                <w:b/>
                <w:bCs/>
                <w:szCs w:val="21"/>
                <w:highlight w:val="none"/>
                <w:lang w:eastAsia="zh-CN"/>
              </w:rPr>
            </w:pPr>
            <w:r>
              <w:rPr>
                <w:rFonts w:hint="eastAsia" w:ascii="仿宋" w:hAnsi="仿宋" w:eastAsia="仿宋"/>
                <w:b/>
                <w:bCs/>
                <w:szCs w:val="21"/>
                <w:highlight w:val="none"/>
                <w:lang w:eastAsia="zh-CN"/>
              </w:rPr>
              <w:t>品牌型号</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lang w:eastAsia="zh-CN"/>
              </w:rPr>
              <w:t>报价</w:t>
            </w:r>
            <w:r>
              <w:rPr>
                <w:rFonts w:hint="eastAsia" w:ascii="仿宋" w:hAnsi="仿宋" w:eastAsia="仿宋"/>
                <w:b/>
                <w:bCs/>
                <w:szCs w:val="21"/>
                <w:highlight w:val="none"/>
              </w:rPr>
              <w:t>（</w:t>
            </w:r>
            <w:r>
              <w:rPr>
                <w:rFonts w:hint="eastAsia" w:ascii="仿宋" w:hAnsi="仿宋" w:eastAsia="仿宋"/>
                <w:b/>
                <w:bCs/>
                <w:szCs w:val="21"/>
                <w:highlight w:val="none"/>
                <w:lang w:eastAsia="zh-CN"/>
              </w:rPr>
              <w:t>万</w:t>
            </w:r>
            <w:r>
              <w:rPr>
                <w:rFonts w:hint="eastAsia" w:ascii="仿宋" w:hAnsi="仿宋" w:eastAsia="仿宋"/>
                <w:b/>
                <w:bCs/>
                <w:szCs w:val="21"/>
                <w:highlight w:val="none"/>
              </w:rPr>
              <w:t>元）</w:t>
            </w:r>
          </w:p>
        </w:tc>
        <w:tc>
          <w:tcPr>
            <w:tcW w:w="7018"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hint="eastAsia" w:ascii="仿宋" w:hAnsi="仿宋" w:eastAsia="仿宋"/>
                <w:b/>
                <w:bCs/>
                <w:szCs w:val="21"/>
                <w:highlight w:val="none"/>
                <w:lang w:eastAsia="zh-CN"/>
              </w:rPr>
            </w:pPr>
            <w:r>
              <w:rPr>
                <w:rFonts w:hint="eastAsia" w:ascii="仿宋" w:hAnsi="仿宋" w:eastAsia="仿宋"/>
                <w:b/>
                <w:bCs/>
                <w:szCs w:val="21"/>
                <w:highlight w:val="none"/>
                <w:lang w:eastAsia="zh-CN"/>
              </w:rPr>
              <w:t>电梯详细技术参数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w:t>
            </w:r>
          </w:p>
        </w:tc>
        <w:tc>
          <w:tcPr>
            <w:tcW w:w="745" w:type="dxa"/>
            <w:tcBorders>
              <w:top w:val="single" w:color="000000" w:sz="4" w:space="0"/>
              <w:left w:val="single" w:color="000000" w:sz="4" w:space="0"/>
              <w:right w:val="single" w:color="000000" w:sz="4" w:space="0"/>
            </w:tcBorders>
            <w:noWrap w:val="0"/>
            <w:vAlign w:val="center"/>
          </w:tcPr>
          <w:p>
            <w:pPr>
              <w:spacing w:line="520" w:lineRule="exact"/>
              <w:rPr>
                <w:rFonts w:ascii="仿宋" w:hAnsi="仿宋"/>
                <w:b/>
                <w:bCs/>
                <w:szCs w:val="21"/>
                <w:highlight w:val="none"/>
              </w:rPr>
            </w:pPr>
            <w:r>
              <w:rPr>
                <w:rFonts w:hint="eastAsia" w:ascii="仿宋" w:hAnsi="仿宋"/>
                <w:b/>
                <w:bCs/>
                <w:szCs w:val="21"/>
                <w:highlight w:val="none"/>
              </w:rPr>
              <w:t>1#楼乘客电梯</w:t>
            </w:r>
          </w:p>
        </w:tc>
        <w:tc>
          <w:tcPr>
            <w:tcW w:w="644" w:type="dxa"/>
            <w:tcBorders>
              <w:top w:val="single" w:color="000000" w:sz="4" w:space="0"/>
              <w:left w:val="single" w:color="000000" w:sz="4" w:space="0"/>
              <w:right w:val="single" w:color="000000" w:sz="4" w:space="0"/>
            </w:tcBorders>
            <w:noWrap w:val="0"/>
            <w:vAlign w:val="center"/>
          </w:tcPr>
          <w:p>
            <w:pPr>
              <w:spacing w:line="520" w:lineRule="exact"/>
              <w:ind w:firstLine="211" w:firstLineChars="100"/>
              <w:rPr>
                <w:rFonts w:hint="default" w:ascii="仿宋" w:hAnsi="仿宋" w:eastAsia="仿宋"/>
                <w:b/>
                <w:bCs/>
                <w:szCs w:val="21"/>
                <w:highlight w:val="none"/>
                <w:lang w:val="en-US" w:eastAsia="zh-CN"/>
              </w:rPr>
            </w:pPr>
            <w:r>
              <w:rPr>
                <w:rFonts w:hint="eastAsia" w:ascii="仿宋" w:hAnsi="仿宋" w:eastAsia="仿宋"/>
                <w:b/>
                <w:bCs/>
                <w:szCs w:val="21"/>
                <w:highlight w:val="none"/>
                <w:lang w:val="en-US" w:eastAsia="zh-CN"/>
              </w:rPr>
              <w:t>2</w:t>
            </w:r>
          </w:p>
        </w:tc>
        <w:tc>
          <w:tcPr>
            <w:tcW w:w="818" w:type="dxa"/>
            <w:tcBorders>
              <w:top w:val="single" w:color="000000" w:sz="4" w:space="0"/>
              <w:left w:val="single" w:color="000000" w:sz="4" w:space="0"/>
              <w:right w:val="single" w:color="000000" w:sz="4" w:space="0"/>
            </w:tcBorders>
            <w:noWrap w:val="0"/>
            <w:vAlign w:val="center"/>
          </w:tcPr>
          <w:p>
            <w:pPr>
              <w:spacing w:line="520" w:lineRule="exact"/>
              <w:rPr>
                <w:rFonts w:ascii="仿宋" w:hAnsi="仿宋" w:eastAsia="仿宋"/>
                <w:b/>
                <w:bCs/>
                <w:szCs w:val="21"/>
                <w:highlight w:val="none"/>
              </w:rPr>
            </w:pPr>
          </w:p>
        </w:tc>
        <w:tc>
          <w:tcPr>
            <w:tcW w:w="1000" w:type="dxa"/>
            <w:tcBorders>
              <w:top w:val="single" w:color="000000" w:sz="4" w:space="0"/>
              <w:left w:val="single" w:color="000000" w:sz="4" w:space="0"/>
              <w:right w:val="single" w:color="000000" w:sz="4" w:space="0"/>
            </w:tcBorders>
            <w:noWrap w:val="0"/>
            <w:vAlign w:val="center"/>
          </w:tcPr>
          <w:p>
            <w:pPr>
              <w:spacing w:line="520" w:lineRule="exact"/>
              <w:rPr>
                <w:rFonts w:ascii="仿宋" w:hAnsi="仿宋" w:eastAsia="仿宋"/>
                <w:b/>
                <w:bCs/>
                <w:szCs w:val="21"/>
                <w:highlight w:val="none"/>
              </w:rPr>
            </w:pPr>
          </w:p>
        </w:tc>
        <w:tc>
          <w:tcPr>
            <w:tcW w:w="7018" w:type="dxa"/>
            <w:tcBorders>
              <w:top w:val="single" w:color="000000" w:sz="4" w:space="0"/>
              <w:left w:val="single" w:color="000000" w:sz="4" w:space="0"/>
              <w:right w:val="single" w:color="000000" w:sz="4" w:space="0"/>
            </w:tcBorders>
            <w:noWrap w:val="0"/>
            <w:vAlign w:val="center"/>
          </w:tcPr>
          <w:p>
            <w:pPr>
              <w:spacing w:line="520" w:lineRule="exact"/>
              <w:rPr>
                <w:rFonts w:ascii="仿宋" w:hAnsi="仿宋" w:eastAsia="仿宋"/>
                <w:b/>
                <w:bCs/>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2</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spacing w:after="120" w:line="360" w:lineRule="exact"/>
              <w:jc w:val="center"/>
              <w:rPr>
                <w:rFonts w:hAnsi="宋体"/>
                <w:color w:val="000000"/>
                <w:szCs w:val="21"/>
                <w:highlight w:val="none"/>
              </w:rPr>
            </w:pPr>
            <w:r>
              <w:rPr>
                <w:rFonts w:hint="eastAsia" w:hAnsi="宋体"/>
                <w:b/>
                <w:bCs/>
                <w:color w:val="000000"/>
                <w:szCs w:val="21"/>
                <w:highlight w:val="none"/>
              </w:rPr>
              <w:t>2-1#及2-2#楼乘客电梯</w:t>
            </w:r>
          </w:p>
        </w:tc>
        <w:tc>
          <w:tcPr>
            <w:tcW w:w="644"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hint="default" w:ascii="仿宋" w:hAnsi="仿宋" w:eastAsia="仿宋"/>
                <w:b/>
                <w:bCs/>
                <w:szCs w:val="21"/>
                <w:highlight w:val="none"/>
                <w:lang w:val="en-US" w:eastAsia="zh-CN"/>
              </w:rPr>
            </w:pPr>
            <w:r>
              <w:rPr>
                <w:rFonts w:hint="eastAsia" w:ascii="仿宋" w:hAnsi="仿宋" w:eastAsia="仿宋"/>
                <w:b/>
                <w:bCs/>
                <w:szCs w:val="21"/>
                <w:highlight w:val="none"/>
                <w:lang w:val="en-US" w:eastAsia="zh-CN"/>
              </w:rPr>
              <w:t>4</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p>
        </w:tc>
        <w:tc>
          <w:tcPr>
            <w:tcW w:w="7018"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spacing w:after="120" w:line="360" w:lineRule="exact"/>
              <w:jc w:val="center"/>
              <w:rPr>
                <w:rFonts w:hAnsi="宋体"/>
                <w:color w:val="000000"/>
                <w:szCs w:val="21"/>
                <w:highlight w:val="none"/>
              </w:rPr>
            </w:pPr>
            <w:r>
              <w:rPr>
                <w:rFonts w:hint="eastAsia" w:hAnsi="宋体"/>
                <w:color w:val="000000"/>
                <w:szCs w:val="21"/>
                <w:highlight w:val="none"/>
              </w:rPr>
              <w:t>......</w:t>
            </w:r>
          </w:p>
        </w:tc>
        <w:tc>
          <w:tcPr>
            <w:tcW w:w="644"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p>
        </w:tc>
        <w:tc>
          <w:tcPr>
            <w:tcW w:w="7018"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jc w:val="center"/>
              <w:rPr>
                <w:rFonts w:ascii="仿宋" w:hAnsi="仿宋" w:eastAsia="仿宋"/>
                <w:b/>
                <w:bCs/>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rPr>
                <w:rFonts w:hint="eastAsia" w:ascii="宋体" w:hAnsi="宋体" w:cs="宋体"/>
                <w:kern w:val="0"/>
                <w:szCs w:val="21"/>
                <w:highlight w:val="none"/>
                <w:lang w:eastAsia="zh-CN"/>
              </w:rPr>
            </w:pPr>
          </w:p>
        </w:tc>
        <w:tc>
          <w:tcPr>
            <w:tcW w:w="10225"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520" w:lineRule="exact"/>
              <w:rPr>
                <w:rFonts w:ascii="仿宋" w:hAnsi="仿宋" w:eastAsia="仿宋"/>
                <w:b/>
                <w:bCs/>
                <w:sz w:val="24"/>
                <w:highlight w:val="none"/>
              </w:rPr>
            </w:pPr>
            <w:r>
              <w:rPr>
                <w:rFonts w:hint="eastAsia" w:ascii="仿宋" w:hAnsi="仿宋" w:eastAsia="仿宋"/>
                <w:b/>
                <w:bCs/>
                <w:sz w:val="24"/>
                <w:highlight w:val="none"/>
              </w:rPr>
              <w:t>项目</w:t>
            </w:r>
            <w:r>
              <w:rPr>
                <w:rFonts w:hint="eastAsia" w:ascii="仿宋" w:hAnsi="仿宋" w:eastAsia="仿宋"/>
                <w:b/>
                <w:bCs/>
                <w:sz w:val="24"/>
                <w:highlight w:val="none"/>
                <w:lang w:eastAsia="zh-CN"/>
              </w:rPr>
              <w:t>总</w:t>
            </w:r>
            <w:r>
              <w:rPr>
                <w:rFonts w:hint="eastAsia" w:ascii="仿宋" w:hAnsi="仿宋" w:eastAsia="仿宋"/>
                <w:b/>
                <w:bCs/>
                <w:sz w:val="24"/>
                <w:highlight w:val="none"/>
              </w:rPr>
              <w:t xml:space="preserve">价：      </w:t>
            </w:r>
            <w:r>
              <w:rPr>
                <w:rFonts w:hint="eastAsia" w:ascii="仿宋" w:hAnsi="仿宋" w:eastAsia="仿宋"/>
                <w:b/>
                <w:bCs/>
                <w:sz w:val="24"/>
                <w:highlight w:val="none"/>
                <w:lang w:val="en-US" w:eastAsia="zh-CN"/>
              </w:rPr>
              <w:t xml:space="preserve"> </w:t>
            </w:r>
            <w:r>
              <w:rPr>
                <w:rFonts w:hint="eastAsia" w:ascii="仿宋" w:hAnsi="仿宋" w:eastAsia="仿宋"/>
                <w:b/>
                <w:bCs/>
                <w:sz w:val="24"/>
                <w:highlight w:val="none"/>
              </w:rPr>
              <w:t xml:space="preserve">      元（大写金额：                            元）</w:t>
            </w:r>
          </w:p>
          <w:p>
            <w:pPr>
              <w:spacing w:line="520" w:lineRule="exact"/>
              <w:rPr>
                <w:rFonts w:hint="eastAsia" w:ascii="宋体" w:hAnsi="宋体" w:eastAsia="宋体" w:cs="宋体"/>
                <w:kern w:val="0"/>
                <w:szCs w:val="21"/>
                <w:highlight w:val="none"/>
                <w:lang w:eastAsia="zh-CN"/>
              </w:rPr>
            </w:pPr>
            <w:r>
              <w:rPr>
                <w:rFonts w:hint="eastAsia" w:ascii="宋体" w:hAnsi="宋体" w:cs="宋体"/>
                <w:kern w:val="0"/>
                <w:szCs w:val="21"/>
                <w:highlight w:val="none"/>
                <w:lang w:eastAsia="zh-CN"/>
              </w:rPr>
              <w:t>报价应包含：</w:t>
            </w:r>
            <w:r>
              <w:rPr>
                <w:rFonts w:hint="eastAsia" w:ascii="宋体" w:hAnsi="宋体" w:cs="宋体"/>
                <w:kern w:val="0"/>
                <w:szCs w:val="21"/>
                <w:highlight w:val="none"/>
                <w:lang w:val="en-US" w:eastAsia="zh-CN"/>
              </w:rPr>
              <w:t>6</w:t>
            </w:r>
            <w:r>
              <w:rPr>
                <w:rFonts w:hint="eastAsia" w:ascii="宋体" w:hAnsi="宋体" w:cs="宋体"/>
                <w:kern w:val="0"/>
                <w:szCs w:val="21"/>
                <w:highlight w:val="none"/>
                <w:lang w:eastAsia="zh-CN"/>
              </w:rPr>
              <w:t>台电梯的设备价、电梯装潢费（轿顶装饰、轿厢地面、厢体内饰：提供样册，采购人选定（可调整装潢方案，以最终确定的装潢方案为准），造价均含在本次报价中）、随机备品备件费、随机专用工具费、安装检修易耗品费、设备包装运杂费、装卸费、现场保管费、设备安装调试费（含调试电费及所用电缆费用）、技术资料费、售后（技术）服务费（包括培训费、维保费等）、安装检测费、图纸深化设计费、井道脚手架搭拆费、井道照明及检修插座费、井道安全距离处理费、井道改造费、基础钢构件费、基础用槽钢和工字钢等费用、召唤盒开孔调整费、楼板开孔费、吊装费、弱电工程费、电梯质量监督检验部门的质量监督检验费、验收费、市场服务费、安装用电用水费、现场安全生产文明施工措施费、社会保险费、住房公积金、税金和保险等确保本工程符合验收标准所产生的全部费用及电梯在使用前的保护性的简装费用（即交钥匙工程造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spacing w:line="520" w:lineRule="exact"/>
              <w:rPr>
                <w:rFonts w:hint="eastAsia" w:ascii="宋体" w:hAnsi="宋体" w:cs="宋体"/>
                <w:kern w:val="0"/>
                <w:szCs w:val="21"/>
                <w:highlight w:val="none"/>
                <w:lang w:eastAsia="zh-CN"/>
              </w:rPr>
            </w:pPr>
            <w:r>
              <w:rPr>
                <w:rFonts w:hint="eastAsia" w:ascii="宋体" w:hAnsi="宋体" w:cs="宋体"/>
                <w:kern w:val="0"/>
                <w:szCs w:val="21"/>
                <w:highlight w:val="none"/>
                <w:lang w:eastAsia="zh-CN"/>
              </w:rPr>
              <w:t>商务条款</w:t>
            </w:r>
          </w:p>
        </w:tc>
        <w:tc>
          <w:tcPr>
            <w:tcW w:w="10225" w:type="dxa"/>
            <w:gridSpan w:val="5"/>
            <w:tcBorders>
              <w:top w:val="single" w:color="000000" w:sz="4" w:space="0"/>
              <w:left w:val="single" w:color="000000" w:sz="4" w:space="0"/>
              <w:bottom w:val="single" w:color="000000" w:sz="4" w:space="0"/>
              <w:right w:val="single" w:color="000000" w:sz="4" w:space="0"/>
            </w:tcBorders>
            <w:noWrap w:val="0"/>
            <w:vAlign w:val="center"/>
          </w:tcPr>
          <w:p>
            <w:pPr>
              <w:numPr>
                <w:ilvl w:val="0"/>
                <w:numId w:val="1"/>
              </w:numPr>
              <w:spacing w:line="520" w:lineRule="exact"/>
              <w:rPr>
                <w:rFonts w:hint="eastAsia" w:ascii="宋体" w:hAnsi="宋体" w:cs="宋体"/>
                <w:kern w:val="0"/>
                <w:szCs w:val="21"/>
                <w:highlight w:val="none"/>
                <w:lang w:eastAsia="zh-CN"/>
              </w:rPr>
            </w:pPr>
            <w:r>
              <w:rPr>
                <w:rFonts w:hint="eastAsia" w:ascii="宋体" w:hAnsi="宋体" w:cs="宋体"/>
                <w:kern w:val="0"/>
                <w:szCs w:val="21"/>
                <w:highlight w:val="none"/>
                <w:lang w:eastAsia="zh-CN"/>
              </w:rPr>
              <w:t>工期：总工期</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lang w:eastAsia="zh-CN"/>
              </w:rPr>
              <w:t>日历天。其中，自接到供货通知之日起</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lang w:eastAsia="zh-CN"/>
              </w:rPr>
              <w:t>日历天货到现场，自货到现场验收合格之日起</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lang w:eastAsia="zh-CN"/>
              </w:rPr>
              <w:t>日历天内安装、调试完毕、取得电梯检验合格证等相应的文件，并交付使用。</w:t>
            </w:r>
          </w:p>
          <w:p>
            <w:pPr>
              <w:numPr>
                <w:ilvl w:val="0"/>
                <w:numId w:val="1"/>
              </w:numPr>
              <w:spacing w:line="520" w:lineRule="exact"/>
              <w:rPr>
                <w:rFonts w:hint="eastAsia" w:ascii="宋体" w:hAnsi="宋体" w:cs="宋体"/>
                <w:kern w:val="0"/>
                <w:szCs w:val="21"/>
                <w:highlight w:val="none"/>
                <w:lang w:eastAsia="zh-CN"/>
              </w:rPr>
            </w:pPr>
            <w:r>
              <w:rPr>
                <w:rFonts w:hint="eastAsia" w:ascii="宋体" w:hAnsi="宋体" w:cs="宋体"/>
                <w:kern w:val="0"/>
                <w:szCs w:val="21"/>
                <w:highlight w:val="none"/>
                <w:lang w:eastAsia="zh-CN"/>
              </w:rPr>
              <w:t>质保期：</w:t>
            </w:r>
          </w:p>
          <w:p>
            <w:pPr>
              <w:numPr>
                <w:ilvl w:val="0"/>
                <w:numId w:val="1"/>
              </w:numPr>
              <w:spacing w:line="520" w:lineRule="exact"/>
              <w:rPr>
                <w:rFonts w:hint="eastAsia" w:ascii="宋体" w:hAnsi="宋体" w:cs="宋体"/>
                <w:kern w:val="0"/>
                <w:szCs w:val="21"/>
                <w:highlight w:val="none"/>
                <w:lang w:eastAsia="zh-CN"/>
              </w:rPr>
            </w:pPr>
            <w:r>
              <w:rPr>
                <w:rFonts w:hint="eastAsia" w:ascii="宋体" w:hAnsi="宋体" w:cs="宋体"/>
                <w:kern w:val="0"/>
                <w:szCs w:val="21"/>
                <w:highlight w:val="none"/>
                <w:lang w:eastAsia="zh-CN"/>
              </w:rPr>
              <w:t>售后服务：</w:t>
            </w:r>
          </w:p>
        </w:tc>
      </w:tr>
    </w:tbl>
    <w:p>
      <w:pPr>
        <w:spacing w:line="520" w:lineRule="exact"/>
        <w:rPr>
          <w:rFonts w:ascii="仿宋" w:hAnsi="仿宋" w:eastAsia="仿宋"/>
          <w:b/>
          <w:bCs/>
          <w:sz w:val="24"/>
          <w:highlight w:val="none"/>
        </w:rPr>
      </w:pPr>
    </w:p>
    <w:p>
      <w:pPr>
        <w:spacing w:line="520" w:lineRule="exact"/>
        <w:rPr>
          <w:rFonts w:ascii="仿宋" w:hAnsi="仿宋" w:eastAsia="仿宋"/>
          <w:b/>
          <w:bCs/>
          <w:sz w:val="24"/>
          <w:highlight w:val="none"/>
        </w:rPr>
      </w:pPr>
      <w:r>
        <w:rPr>
          <w:rFonts w:hint="eastAsia" w:ascii="仿宋" w:hAnsi="仿宋" w:eastAsia="仿宋"/>
          <w:b/>
          <w:bCs/>
          <w:sz w:val="24"/>
          <w:highlight w:val="none"/>
        </w:rPr>
        <w:t>参数投递方（盖单位公章）：</w:t>
      </w:r>
    </w:p>
    <w:p>
      <w:pPr>
        <w:spacing w:line="520" w:lineRule="exact"/>
        <w:rPr>
          <w:rFonts w:ascii="仿宋" w:hAnsi="仿宋" w:eastAsia="仿宋"/>
          <w:b/>
          <w:bCs/>
          <w:sz w:val="32"/>
          <w:szCs w:val="32"/>
          <w:highlight w:val="none"/>
        </w:rPr>
      </w:pPr>
      <w:r>
        <w:rPr>
          <w:rFonts w:ascii="仿宋" w:hAnsi="仿宋" w:eastAsia="仿宋"/>
          <w:b/>
          <w:bCs/>
          <w:sz w:val="24"/>
          <w:highlight w:val="none"/>
        </w:rPr>
        <w:t>法定代表人或其委托代理人（签字</w:t>
      </w:r>
      <w:r>
        <w:rPr>
          <w:rFonts w:hint="eastAsia" w:ascii="仿宋" w:hAnsi="仿宋" w:eastAsia="仿宋"/>
          <w:b/>
          <w:bCs/>
          <w:sz w:val="24"/>
          <w:highlight w:val="none"/>
          <w:lang w:eastAsia="zh-CN"/>
        </w:rPr>
        <w:t>及</w:t>
      </w:r>
      <w:r>
        <w:rPr>
          <w:rFonts w:ascii="仿宋" w:hAnsi="仿宋" w:eastAsia="仿宋"/>
          <w:b/>
          <w:bCs/>
          <w:sz w:val="24"/>
          <w:highlight w:val="none"/>
        </w:rPr>
        <w:t>盖章）：</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7A"/>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1F94B7"/>
    <w:multiLevelType w:val="singleLevel"/>
    <w:tmpl w:val="581F94B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10800346"/>
    <w:rsid w:val="108003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2023-01-05T07:58:00Z</dcterms:created>
  <dc:creator>WPS</dc:creator>
  <cp:lastModifiedBy>WPS</cp:lastModifiedBy>
  <dcterms:modified xsi:type="dcterms:W3CDTF">2023-01-05T07:58:34Z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C2C6FA645E2E4FE2B862DBBA8D5172F0</vt:lpwstr>
  </property>
</Properties>
</file>