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  <w:bookmarkStart w:id="0" w:name="_GoBack"/>
      <w:bookmarkEnd w:id="0"/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</w:p>
    <w:tbl>
      <w:tblPr>
        <w:tblStyle w:val="4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179"/>
        <w:gridCol w:w="488"/>
        <w:gridCol w:w="1130"/>
        <w:gridCol w:w="98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</w:rPr>
              <w:t>1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30元档纪念品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50000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150.00万元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春节储血纪念品（如：春节大礼包如零食礼包/坚果/对联门贴等礼包、定制挂历、雨伞、新年生肖玩偶、新年生肖抱枕被、便捷旅行洗漱套装、保温杯、毛巾套装、抱枕、文创纪念品等，不仅限于此）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，数量共20000份</w:t>
            </w:r>
            <w:r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2、应急招募纪念品（如：清凉饮料、药箱（含部分应急处置物资）、日用品、雨伞、玩偶、保温杯、毛巾套装、抱枕、文创纪念品等，不仅限于此），数量共30000份；                                 3、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纪念品符合有关行业及国家标准；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50元档纪念品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30000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150.00万元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1、献血者常规纪念品（如：体脂称、餐具/厨具套装、户外物资、旅行用品、雨伞、玩偶、保温杯、毛巾套装、抱枕、文创纪念品等，不仅限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于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此）；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、纪念品符合有关行业及国家标准；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高钙奶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35000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105.00万元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高钙奶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；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、执行标准GB25191-2010；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、按需配送至南宁市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市区（不含武鸣区）内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各捐血屋及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临时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采血点；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6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纯牛奶</w:t>
            </w:r>
          </w:p>
        </w:tc>
        <w:tc>
          <w:tcPr>
            <w:tcW w:w="4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eastAsia="zh-CN"/>
              </w:rPr>
              <w:t>份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550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 w:val="0"/>
                <w:bCs w:val="0"/>
                <w:szCs w:val="21"/>
                <w:highlight w:val="none"/>
                <w:lang w:val="en-US" w:eastAsia="zh-CN"/>
              </w:rPr>
              <w:t>2.20万元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 xml:space="preserve">1、纯牛奶；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、执行标准GB 25190-2010；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41E55A11"/>
    <w:rsid w:val="41E5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2023-01-12T00:45:00Z</dcterms:created>
  <dc:creator>WPS</dc:creator>
  <cp:lastModifiedBy>WPS</cp:lastModifiedBy>
  <dcterms:modified xsi:type="dcterms:W3CDTF">2023-01-12T00:45:56Z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5D81D56794F14747AF713547C1816305</vt:lpwstr>
  </property>
</Properties>
</file>