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rPr>
          <w:sz w:val="30"/>
          <w:szCs w:val="30"/>
          <w:highlight w:val="none"/>
        </w:rPr>
      </w:pPr>
      <w:r>
        <w:rPr>
          <w:rFonts w:hint="eastAsia" w:ascii="仿宋" w:hAnsi="仿宋" w:eastAsia="仿宋"/>
          <w:b/>
          <w:bCs/>
          <w:sz w:val="30"/>
          <w:szCs w:val="30"/>
          <w:highlight w:val="none"/>
        </w:rPr>
        <w:t>附件1</w:t>
      </w:r>
    </w:p>
    <w:p>
      <w:pPr>
        <w:spacing w:line="520" w:lineRule="exact"/>
        <w:ind w:firstLine="602" w:firstLineChars="200"/>
        <w:jc w:val="center"/>
        <w:rPr>
          <w:rFonts w:ascii="仿宋" w:hAnsi="仿宋" w:eastAsia="仿宋"/>
          <w:b/>
          <w:bCs/>
          <w:sz w:val="30"/>
          <w:szCs w:val="30"/>
          <w:highlight w:val="none"/>
        </w:rPr>
      </w:pPr>
      <w:r>
        <w:rPr>
          <w:rFonts w:hint="eastAsia" w:ascii="仿宋" w:hAnsi="仿宋" w:eastAsia="仿宋"/>
          <w:b/>
          <w:bCs/>
          <w:sz w:val="30"/>
          <w:szCs w:val="30"/>
          <w:highlight w:val="none"/>
        </w:rPr>
        <w:t>南宁中心血站采购项目基本情况及需求</w:t>
      </w:r>
    </w:p>
    <w:tbl>
      <w:tblPr>
        <w:tblStyle w:val="4"/>
        <w:tblpPr w:leftFromText="180" w:rightFromText="180" w:vertAnchor="text" w:horzAnchor="page" w:tblpX="674" w:tblpY="173"/>
        <w:tblOverlap w:val="never"/>
        <w:tblW w:w="108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0"/>
        <w:gridCol w:w="788"/>
        <w:gridCol w:w="725"/>
        <w:gridCol w:w="1200"/>
        <w:gridCol w:w="912"/>
        <w:gridCol w:w="64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trPr>
        <w:tc>
          <w:tcPr>
            <w:tcW w:w="800" w:type="dxa"/>
            <w:noWrap w:val="0"/>
            <w:vAlign w:val="center"/>
          </w:tcPr>
          <w:p>
            <w:pPr>
              <w:spacing w:line="520" w:lineRule="exact"/>
              <w:jc w:val="center"/>
              <w:rPr>
                <w:rFonts w:ascii="仿宋" w:hAnsi="仿宋" w:eastAsia="仿宋"/>
                <w:b/>
                <w:bCs/>
                <w:sz w:val="28"/>
                <w:szCs w:val="28"/>
                <w:highlight w:val="none"/>
              </w:rPr>
            </w:pPr>
            <w:r>
              <w:rPr>
                <w:rFonts w:hint="eastAsia" w:ascii="仿宋" w:hAnsi="仿宋" w:eastAsia="仿宋"/>
                <w:b/>
                <w:bCs/>
                <w:sz w:val="28"/>
                <w:szCs w:val="28"/>
                <w:highlight w:val="none"/>
              </w:rPr>
              <w:t>序号</w:t>
            </w:r>
          </w:p>
        </w:tc>
        <w:tc>
          <w:tcPr>
            <w:tcW w:w="788" w:type="dxa"/>
            <w:noWrap w:val="0"/>
            <w:vAlign w:val="center"/>
          </w:tcPr>
          <w:p>
            <w:pPr>
              <w:spacing w:line="520" w:lineRule="exact"/>
              <w:jc w:val="center"/>
              <w:rPr>
                <w:rFonts w:ascii="仿宋" w:hAnsi="仿宋" w:eastAsia="仿宋"/>
                <w:b/>
                <w:bCs/>
                <w:sz w:val="28"/>
                <w:szCs w:val="28"/>
                <w:highlight w:val="none"/>
              </w:rPr>
            </w:pPr>
            <w:r>
              <w:rPr>
                <w:rFonts w:hint="eastAsia" w:ascii="仿宋" w:hAnsi="仿宋" w:eastAsia="仿宋"/>
                <w:b/>
                <w:bCs/>
                <w:sz w:val="28"/>
                <w:szCs w:val="28"/>
                <w:highlight w:val="none"/>
              </w:rPr>
              <w:t>项目名称</w:t>
            </w:r>
          </w:p>
        </w:tc>
        <w:tc>
          <w:tcPr>
            <w:tcW w:w="725" w:type="dxa"/>
            <w:noWrap w:val="0"/>
            <w:vAlign w:val="center"/>
          </w:tcPr>
          <w:p>
            <w:pPr>
              <w:spacing w:line="520" w:lineRule="exact"/>
              <w:jc w:val="center"/>
              <w:rPr>
                <w:rFonts w:ascii="仿宋" w:hAnsi="仿宋" w:eastAsia="仿宋"/>
                <w:b/>
                <w:bCs/>
                <w:sz w:val="28"/>
                <w:szCs w:val="28"/>
                <w:highlight w:val="none"/>
              </w:rPr>
            </w:pPr>
            <w:r>
              <w:rPr>
                <w:rFonts w:hint="eastAsia" w:ascii="仿宋" w:hAnsi="仿宋" w:eastAsia="仿宋"/>
                <w:b/>
                <w:bCs/>
                <w:sz w:val="28"/>
                <w:szCs w:val="28"/>
                <w:highlight w:val="none"/>
              </w:rPr>
              <w:t>单位</w:t>
            </w:r>
          </w:p>
        </w:tc>
        <w:tc>
          <w:tcPr>
            <w:tcW w:w="1200" w:type="dxa"/>
            <w:noWrap w:val="0"/>
            <w:vAlign w:val="center"/>
          </w:tcPr>
          <w:p>
            <w:pPr>
              <w:spacing w:line="520" w:lineRule="exact"/>
              <w:jc w:val="center"/>
              <w:rPr>
                <w:rFonts w:ascii="仿宋" w:hAnsi="仿宋" w:eastAsia="仿宋"/>
                <w:b/>
                <w:bCs/>
                <w:sz w:val="28"/>
                <w:szCs w:val="28"/>
                <w:highlight w:val="none"/>
              </w:rPr>
            </w:pPr>
            <w:r>
              <w:rPr>
                <w:rFonts w:hint="eastAsia" w:ascii="仿宋" w:hAnsi="仿宋" w:eastAsia="仿宋"/>
                <w:b/>
                <w:bCs/>
                <w:sz w:val="28"/>
                <w:szCs w:val="28"/>
                <w:highlight w:val="none"/>
              </w:rPr>
              <w:t>计划采购数量</w:t>
            </w:r>
          </w:p>
        </w:tc>
        <w:tc>
          <w:tcPr>
            <w:tcW w:w="912" w:type="dxa"/>
            <w:noWrap w:val="0"/>
            <w:vAlign w:val="center"/>
          </w:tcPr>
          <w:p>
            <w:pPr>
              <w:spacing w:line="520" w:lineRule="exact"/>
              <w:jc w:val="center"/>
              <w:rPr>
                <w:rFonts w:ascii="仿宋" w:hAnsi="仿宋" w:eastAsia="仿宋"/>
                <w:b/>
                <w:bCs/>
                <w:sz w:val="28"/>
                <w:szCs w:val="28"/>
                <w:highlight w:val="none"/>
              </w:rPr>
            </w:pPr>
            <w:r>
              <w:rPr>
                <w:rFonts w:hint="eastAsia" w:ascii="仿宋" w:hAnsi="仿宋" w:eastAsia="仿宋"/>
                <w:b/>
                <w:bCs/>
                <w:sz w:val="28"/>
                <w:szCs w:val="28"/>
                <w:highlight w:val="none"/>
              </w:rPr>
              <w:t>采购预算</w:t>
            </w:r>
          </w:p>
        </w:tc>
        <w:tc>
          <w:tcPr>
            <w:tcW w:w="6450" w:type="dxa"/>
            <w:noWrap w:val="0"/>
            <w:vAlign w:val="center"/>
          </w:tcPr>
          <w:p>
            <w:pPr>
              <w:spacing w:line="520" w:lineRule="exact"/>
              <w:jc w:val="center"/>
              <w:rPr>
                <w:rFonts w:hint="eastAsia" w:ascii="仿宋" w:hAnsi="仿宋" w:eastAsia="仿宋"/>
                <w:b/>
                <w:bCs/>
                <w:sz w:val="28"/>
                <w:szCs w:val="28"/>
                <w:highlight w:val="none"/>
              </w:rPr>
            </w:pPr>
          </w:p>
          <w:p>
            <w:pPr>
              <w:spacing w:line="520" w:lineRule="exact"/>
              <w:jc w:val="center"/>
              <w:rPr>
                <w:rFonts w:ascii="仿宋" w:hAnsi="仿宋" w:eastAsia="仿宋"/>
                <w:b/>
                <w:bCs/>
                <w:sz w:val="28"/>
                <w:szCs w:val="28"/>
                <w:highlight w:val="none"/>
              </w:rPr>
            </w:pPr>
            <w:r>
              <w:rPr>
                <w:rFonts w:hint="eastAsia" w:ascii="仿宋" w:hAnsi="仿宋" w:eastAsia="仿宋"/>
                <w:b/>
                <w:bCs/>
                <w:sz w:val="28"/>
                <w:szCs w:val="28"/>
                <w:highlight w:val="none"/>
              </w:rPr>
              <w:t>基本情况及需求</w:t>
            </w:r>
          </w:p>
          <w:p>
            <w:pPr>
              <w:spacing w:line="520" w:lineRule="exact"/>
              <w:jc w:val="center"/>
              <w:rPr>
                <w:rFonts w:ascii="仿宋" w:hAnsi="仿宋" w:eastAsia="仿宋"/>
                <w:b/>
                <w:bCs/>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800" w:type="dxa"/>
            <w:noWrap w:val="0"/>
            <w:vAlign w:val="center"/>
          </w:tcPr>
          <w:p>
            <w:pPr>
              <w:spacing w:line="520" w:lineRule="exact"/>
              <w:jc w:val="center"/>
              <w:rPr>
                <w:rFonts w:ascii="仿宋" w:hAnsi="仿宋" w:eastAsia="仿宋"/>
                <w:b/>
                <w:bCs/>
                <w:szCs w:val="21"/>
                <w:highlight w:val="none"/>
              </w:rPr>
            </w:pPr>
            <w:r>
              <w:rPr>
                <w:rFonts w:hint="eastAsia" w:ascii="仿宋" w:hAnsi="仿宋" w:eastAsia="仿宋"/>
                <w:b/>
                <w:bCs/>
                <w:szCs w:val="21"/>
                <w:highlight w:val="none"/>
              </w:rPr>
              <w:t>1</w:t>
            </w:r>
          </w:p>
        </w:tc>
        <w:tc>
          <w:tcPr>
            <w:tcW w:w="788" w:type="dxa"/>
            <w:noWrap w:val="0"/>
            <w:vAlign w:val="center"/>
          </w:tcPr>
          <w:p>
            <w:pPr>
              <w:spacing w:line="520" w:lineRule="exact"/>
              <w:jc w:val="center"/>
              <w:rPr>
                <w:rFonts w:hint="eastAsia" w:ascii="仿宋" w:hAnsi="仿宋" w:eastAsia="仿宋"/>
                <w:b/>
                <w:bCs/>
                <w:szCs w:val="21"/>
                <w:highlight w:val="none"/>
                <w:lang w:eastAsia="zh-CN"/>
              </w:rPr>
            </w:pPr>
            <w:r>
              <w:rPr>
                <w:rFonts w:hint="eastAsia" w:ascii="仿宋" w:hAnsi="仿宋" w:eastAsia="仿宋"/>
                <w:b/>
                <w:bCs/>
                <w:szCs w:val="21"/>
                <w:highlight w:val="none"/>
              </w:rPr>
              <w:t>南宁中心血站</w:t>
            </w:r>
            <w:r>
              <w:rPr>
                <w:rFonts w:hint="eastAsia" w:ascii="仿宋" w:hAnsi="仿宋" w:eastAsia="仿宋"/>
                <w:b/>
                <w:bCs/>
                <w:szCs w:val="21"/>
                <w:highlight w:val="none"/>
                <w:lang w:val="en-US" w:eastAsia="zh-CN"/>
              </w:rPr>
              <w:t>2023年</w:t>
            </w:r>
            <w:r>
              <w:rPr>
                <w:rFonts w:hint="eastAsia" w:ascii="仿宋" w:hAnsi="仿宋" w:eastAsia="仿宋"/>
                <w:b/>
                <w:bCs/>
                <w:szCs w:val="21"/>
                <w:highlight w:val="none"/>
                <w:lang w:eastAsia="zh-CN"/>
              </w:rPr>
              <w:t>纪念品云仓服务</w:t>
            </w:r>
          </w:p>
        </w:tc>
        <w:tc>
          <w:tcPr>
            <w:tcW w:w="725" w:type="dxa"/>
            <w:noWrap w:val="0"/>
            <w:vAlign w:val="center"/>
          </w:tcPr>
          <w:p>
            <w:pPr>
              <w:spacing w:line="520" w:lineRule="exact"/>
              <w:jc w:val="center"/>
              <w:rPr>
                <w:rFonts w:hint="eastAsia" w:ascii="仿宋" w:hAnsi="仿宋" w:eastAsia="仿宋"/>
                <w:b/>
                <w:bCs/>
                <w:szCs w:val="21"/>
                <w:highlight w:val="none"/>
                <w:lang w:eastAsia="zh-CN"/>
              </w:rPr>
            </w:pPr>
            <w:r>
              <w:rPr>
                <w:rFonts w:hint="eastAsia" w:ascii="仿宋" w:hAnsi="仿宋" w:eastAsia="仿宋"/>
                <w:b/>
                <w:bCs/>
                <w:szCs w:val="21"/>
                <w:highlight w:val="none"/>
                <w:lang w:eastAsia="zh-CN"/>
              </w:rPr>
              <w:t>项</w:t>
            </w:r>
          </w:p>
        </w:tc>
        <w:tc>
          <w:tcPr>
            <w:tcW w:w="1200" w:type="dxa"/>
            <w:noWrap w:val="0"/>
            <w:vAlign w:val="center"/>
          </w:tcPr>
          <w:p>
            <w:pPr>
              <w:spacing w:line="520" w:lineRule="exact"/>
              <w:jc w:val="center"/>
              <w:rPr>
                <w:rFonts w:ascii="仿宋" w:hAnsi="仿宋" w:eastAsia="仿宋"/>
                <w:b/>
                <w:bCs/>
                <w:szCs w:val="21"/>
                <w:highlight w:val="none"/>
              </w:rPr>
            </w:pPr>
            <w:r>
              <w:rPr>
                <w:rFonts w:hint="eastAsia" w:ascii="仿宋" w:hAnsi="仿宋" w:eastAsia="仿宋"/>
                <w:b/>
                <w:bCs/>
                <w:szCs w:val="21"/>
                <w:highlight w:val="none"/>
              </w:rPr>
              <w:t>1</w:t>
            </w:r>
          </w:p>
        </w:tc>
        <w:tc>
          <w:tcPr>
            <w:tcW w:w="912" w:type="dxa"/>
            <w:noWrap w:val="0"/>
            <w:vAlign w:val="center"/>
          </w:tcPr>
          <w:p>
            <w:pPr>
              <w:spacing w:line="520" w:lineRule="exact"/>
              <w:jc w:val="center"/>
              <w:rPr>
                <w:rFonts w:ascii="仿宋" w:hAnsi="仿宋" w:eastAsia="仿宋"/>
                <w:b/>
                <w:bCs/>
                <w:szCs w:val="21"/>
                <w:highlight w:val="none"/>
              </w:rPr>
            </w:pPr>
            <w:r>
              <w:rPr>
                <w:rFonts w:hint="eastAsia" w:ascii="仿宋" w:hAnsi="仿宋" w:eastAsia="仿宋"/>
                <w:b/>
                <w:bCs/>
                <w:szCs w:val="21"/>
                <w:highlight w:val="none"/>
                <w:lang w:val="en-US" w:eastAsia="zh-CN"/>
              </w:rPr>
              <w:t>906.5</w:t>
            </w:r>
            <w:r>
              <w:rPr>
                <w:rFonts w:hint="eastAsia" w:ascii="仿宋" w:hAnsi="仿宋" w:eastAsia="仿宋"/>
                <w:b/>
                <w:bCs/>
                <w:szCs w:val="21"/>
                <w:highlight w:val="none"/>
              </w:rPr>
              <w:t>万元</w:t>
            </w:r>
          </w:p>
        </w:tc>
        <w:tc>
          <w:tcPr>
            <w:tcW w:w="6450" w:type="dxa"/>
            <w:noWrap w:val="0"/>
            <w:vAlign w:val="center"/>
          </w:tcPr>
          <w:p>
            <w:pPr>
              <w:spacing w:line="360" w:lineRule="auto"/>
              <w:jc w:val="left"/>
              <w:rPr>
                <w:rFonts w:hint="eastAsia" w:ascii="仿宋" w:hAnsi="仿宋" w:eastAsia="仿宋"/>
                <w:b/>
                <w:bCs/>
                <w:szCs w:val="21"/>
                <w:highlight w:val="none"/>
                <w:lang w:val="en-US" w:eastAsia="zh-CN"/>
              </w:rPr>
            </w:pPr>
            <w:r>
              <w:rPr>
                <w:rFonts w:hint="eastAsia" w:ascii="仿宋" w:hAnsi="仿宋" w:eastAsia="仿宋"/>
                <w:b/>
                <w:bCs/>
                <w:szCs w:val="21"/>
                <w:highlight w:val="none"/>
                <w:lang w:val="en-US" w:eastAsia="zh-CN"/>
              </w:rPr>
              <w:t>一、项目概述：纪念品云仓服务是为南宁中心血站搭建献血者网上纪念品服务平台，通过平台提供献血者关爱服务、纪念品网上兑换及配送服务、献血积分网上兑换使用及配送服务、客服服务、无偿献血宣传活动策划服务、以及配套互联网系统功能开发等服务。</w:t>
            </w:r>
          </w:p>
          <w:p>
            <w:pPr>
              <w:spacing w:line="360" w:lineRule="auto"/>
              <w:jc w:val="left"/>
              <w:rPr>
                <w:rFonts w:hint="eastAsia" w:ascii="仿宋" w:hAnsi="仿宋" w:eastAsia="仿宋"/>
                <w:b/>
                <w:bCs/>
                <w:szCs w:val="21"/>
                <w:highlight w:val="none"/>
                <w:lang w:val="en-US" w:eastAsia="zh-CN"/>
              </w:rPr>
            </w:pPr>
            <w:r>
              <w:rPr>
                <w:rFonts w:hint="eastAsia" w:ascii="仿宋" w:hAnsi="仿宋" w:eastAsia="仿宋"/>
                <w:b/>
                <w:bCs/>
                <w:szCs w:val="21"/>
                <w:highlight w:val="none"/>
                <w:lang w:val="en-US" w:eastAsia="zh-CN"/>
              </w:rPr>
              <w:t>二、服务参数基础要求：</w:t>
            </w:r>
          </w:p>
          <w:p>
            <w:pPr>
              <w:spacing w:line="360" w:lineRule="auto"/>
              <w:jc w:val="left"/>
              <w:rPr>
                <w:rFonts w:hint="eastAsia" w:ascii="仿宋" w:hAnsi="仿宋" w:eastAsia="仿宋"/>
                <w:b/>
                <w:bCs/>
                <w:szCs w:val="21"/>
                <w:highlight w:val="none"/>
                <w:lang w:val="en-US" w:eastAsia="zh-CN"/>
              </w:rPr>
            </w:pPr>
            <w:r>
              <w:rPr>
                <w:rFonts w:hint="eastAsia" w:ascii="仿宋" w:hAnsi="仿宋" w:eastAsia="仿宋"/>
                <w:b/>
                <w:bCs/>
                <w:szCs w:val="21"/>
                <w:highlight w:val="none"/>
                <w:lang w:val="en-US" w:eastAsia="zh-CN"/>
              </w:rPr>
              <w:t>1、服务内容及数量：</w:t>
            </w:r>
          </w:p>
          <w:p>
            <w:pPr>
              <w:spacing w:line="360" w:lineRule="auto"/>
              <w:jc w:val="left"/>
              <w:rPr>
                <w:rFonts w:hint="eastAsia" w:ascii="仿宋" w:hAnsi="仿宋" w:eastAsia="仿宋"/>
                <w:b/>
                <w:bCs/>
                <w:szCs w:val="21"/>
                <w:highlight w:val="none"/>
                <w:lang w:val="en-US" w:eastAsia="zh-CN"/>
              </w:rPr>
            </w:pPr>
            <w:r>
              <w:rPr>
                <w:rFonts w:hint="eastAsia" w:ascii="仿宋" w:hAnsi="仿宋" w:eastAsia="仿宋"/>
                <w:b/>
                <w:bCs/>
                <w:szCs w:val="21"/>
                <w:highlight w:val="none"/>
                <w:lang w:val="en-US" w:eastAsia="zh-CN"/>
              </w:rPr>
              <w:t>1）机采科：机采献血者积分兑换采购预算3.55万份，30元/份，预算金额106.50万元;</w:t>
            </w:r>
          </w:p>
          <w:p>
            <w:pPr>
              <w:spacing w:line="360" w:lineRule="auto"/>
              <w:jc w:val="left"/>
              <w:rPr>
                <w:rFonts w:hint="eastAsia" w:ascii="仿宋" w:hAnsi="仿宋" w:eastAsia="仿宋"/>
                <w:b/>
                <w:bCs/>
                <w:szCs w:val="21"/>
                <w:highlight w:val="none"/>
                <w:lang w:val="en-US" w:eastAsia="zh-CN"/>
              </w:rPr>
            </w:pPr>
            <w:r>
              <w:rPr>
                <w:rFonts w:hint="eastAsia" w:ascii="仿宋" w:hAnsi="仿宋" w:eastAsia="仿宋"/>
                <w:b/>
                <w:bCs/>
                <w:szCs w:val="21"/>
                <w:highlight w:val="none"/>
                <w:lang w:val="en-US" w:eastAsia="zh-CN"/>
              </w:rPr>
              <w:t>2)采血科：全血献血者纪念品兑换采购预算16.00万份，50元/份，预算总金额800.00万元。</w:t>
            </w:r>
          </w:p>
          <w:p>
            <w:pPr>
              <w:spacing w:line="360" w:lineRule="auto"/>
              <w:jc w:val="left"/>
              <w:rPr>
                <w:rFonts w:hint="eastAsia" w:ascii="仿宋" w:hAnsi="仿宋" w:eastAsia="仿宋"/>
                <w:b/>
                <w:bCs/>
                <w:szCs w:val="21"/>
                <w:highlight w:val="none"/>
                <w:lang w:val="en-US" w:eastAsia="zh-CN"/>
              </w:rPr>
            </w:pPr>
            <w:r>
              <w:rPr>
                <w:rFonts w:hint="eastAsia" w:ascii="仿宋" w:hAnsi="仿宋" w:eastAsia="仿宋"/>
                <w:b/>
                <w:bCs/>
                <w:szCs w:val="21"/>
                <w:highlight w:val="none"/>
                <w:lang w:val="en-US" w:eastAsia="zh-CN"/>
              </w:rPr>
              <w:t>2、服务要求：</w:t>
            </w:r>
          </w:p>
          <w:p>
            <w:pPr>
              <w:spacing w:line="360" w:lineRule="auto"/>
              <w:jc w:val="left"/>
              <w:rPr>
                <w:rFonts w:hint="eastAsia" w:ascii="仿宋" w:hAnsi="仿宋" w:eastAsia="仿宋"/>
                <w:b/>
                <w:bCs/>
                <w:szCs w:val="21"/>
                <w:highlight w:val="none"/>
                <w:lang w:val="en-US" w:eastAsia="zh-CN"/>
              </w:rPr>
            </w:pPr>
            <w:r>
              <w:rPr>
                <w:rFonts w:hint="eastAsia" w:ascii="仿宋" w:hAnsi="仿宋" w:eastAsia="仿宋"/>
                <w:b/>
                <w:bCs/>
                <w:szCs w:val="21"/>
                <w:highlight w:val="none"/>
                <w:lang w:val="en-US" w:eastAsia="zh-CN"/>
              </w:rPr>
              <w:t>1）通过平台实现全血及成分血的献血者在献血后进行纪念品及积分兑换服务。其中纪念品兑换服务需提供质量合格的、种类多样化的、具有一定纪念价值或实用价值、美观、精致、优质、耐用的实物或其他的可兑换同等价值以上的兑换服务，</w:t>
            </w:r>
            <w:r>
              <w:rPr>
                <w:rFonts w:hint="eastAsia" w:ascii="仿宋" w:hAnsi="仿宋" w:eastAsia="仿宋"/>
                <w:b/>
                <w:bCs/>
                <w:szCs w:val="21"/>
              </w:rPr>
              <w:t>线上商城同时上架并可兑换的纪念品品种不少于3</w:t>
            </w:r>
            <w:r>
              <w:rPr>
                <w:rFonts w:ascii="仿宋" w:hAnsi="仿宋" w:eastAsia="仿宋"/>
                <w:b/>
                <w:bCs/>
                <w:szCs w:val="21"/>
              </w:rPr>
              <w:t>00</w:t>
            </w:r>
            <w:r>
              <w:rPr>
                <w:rFonts w:hint="eastAsia" w:ascii="仿宋" w:hAnsi="仿宋" w:eastAsia="仿宋"/>
                <w:b/>
                <w:bCs/>
                <w:szCs w:val="21"/>
              </w:rPr>
              <w:t>种</w:t>
            </w:r>
            <w:r>
              <w:rPr>
                <w:rFonts w:hint="eastAsia" w:ascii="仿宋" w:hAnsi="仿宋" w:eastAsia="仿宋"/>
                <w:b/>
                <w:bCs/>
                <w:szCs w:val="21"/>
                <w:lang w:eastAsia="zh-CN"/>
              </w:rPr>
              <w:t>（不含文创类纪念品）</w:t>
            </w:r>
            <w:r>
              <w:rPr>
                <w:rFonts w:hint="eastAsia" w:ascii="仿宋" w:hAnsi="仿宋" w:eastAsia="仿宋"/>
                <w:b/>
                <w:bCs/>
                <w:szCs w:val="21"/>
              </w:rPr>
              <w:t>，同款纪念品不同颜色视为一</w:t>
            </w:r>
            <w:r>
              <w:rPr>
                <w:rFonts w:hint="eastAsia" w:ascii="仿宋" w:hAnsi="仿宋" w:eastAsia="仿宋"/>
                <w:b/>
                <w:bCs/>
                <w:szCs w:val="21"/>
                <w:lang w:eastAsia="zh-CN"/>
              </w:rPr>
              <w:t>种</w:t>
            </w:r>
            <w:r>
              <w:rPr>
                <w:rFonts w:hint="eastAsia" w:ascii="仿宋" w:hAnsi="仿宋" w:eastAsia="仿宋"/>
                <w:b/>
                <w:bCs/>
                <w:szCs w:val="21"/>
                <w:highlight w:val="none"/>
                <w:lang w:val="en-US" w:eastAsia="zh-CN"/>
              </w:rPr>
              <w:t>，此外</w:t>
            </w:r>
            <w:bookmarkStart w:id="0" w:name="_GoBack"/>
            <w:bookmarkEnd w:id="0"/>
            <w:r>
              <w:rPr>
                <w:rFonts w:hint="eastAsia" w:ascii="仿宋" w:hAnsi="仿宋" w:eastAsia="仿宋"/>
                <w:b/>
                <w:bCs/>
                <w:szCs w:val="21"/>
                <w:highlight w:val="none"/>
                <w:lang w:val="en-US" w:eastAsia="zh-CN"/>
              </w:rPr>
              <w:t>可以根据采购人需求增设邕小献定制纪念品专区，定制邕小献文创类纪念品；积分兑换服务需可实现积分单次或多次累积兑换，同时可实现纪念品兑换及提供不少于3家当地超市购物卡（实体卡或电子券）。</w:t>
            </w:r>
          </w:p>
          <w:p>
            <w:pPr>
              <w:spacing w:line="360" w:lineRule="auto"/>
              <w:jc w:val="left"/>
              <w:rPr>
                <w:rFonts w:hint="eastAsia" w:ascii="仿宋" w:hAnsi="仿宋" w:eastAsia="仿宋"/>
                <w:b/>
                <w:bCs/>
                <w:szCs w:val="21"/>
                <w:highlight w:val="none"/>
                <w:lang w:val="en-US" w:eastAsia="zh-CN"/>
              </w:rPr>
            </w:pPr>
            <w:r>
              <w:rPr>
                <w:rFonts w:hint="eastAsia" w:ascii="仿宋" w:hAnsi="仿宋" w:eastAsia="仿宋"/>
                <w:b/>
                <w:bCs/>
                <w:szCs w:val="21"/>
                <w:highlight w:val="none"/>
                <w:lang w:val="en-US" w:eastAsia="zh-CN"/>
              </w:rPr>
              <w:t>2）兑换平台需与采购方业务系统及微信公众号进行对接，自动与献血记录匹配，同时实现通过</w:t>
            </w:r>
            <w:r>
              <w:rPr>
                <w:rFonts w:hint="eastAsia" w:ascii="仿宋" w:hAnsi="仿宋" w:eastAsia="仿宋"/>
                <w:b/>
                <w:bCs/>
                <w:szCs w:val="21"/>
              </w:rPr>
              <w:t>采购方官方</w:t>
            </w:r>
            <w:r>
              <w:rPr>
                <w:rFonts w:hint="eastAsia" w:ascii="仿宋" w:hAnsi="仿宋" w:eastAsia="仿宋"/>
                <w:b/>
                <w:bCs/>
                <w:szCs w:val="21"/>
                <w:highlight w:val="none"/>
                <w:lang w:val="en-US" w:eastAsia="zh-CN"/>
              </w:rPr>
              <w:t>微信公众号进行纪念品及积分的兑换，实现高效的纪念品及积分兑换服务，并确保采购方数据安全和献血者隐私。</w:t>
            </w:r>
          </w:p>
          <w:p>
            <w:pPr>
              <w:spacing w:line="360" w:lineRule="auto"/>
              <w:jc w:val="left"/>
              <w:rPr>
                <w:rFonts w:hint="eastAsia" w:ascii="仿宋" w:hAnsi="仿宋" w:eastAsia="仿宋"/>
                <w:b/>
                <w:bCs/>
                <w:szCs w:val="21"/>
                <w:highlight w:val="none"/>
                <w:lang w:val="en-US" w:eastAsia="zh-CN"/>
              </w:rPr>
            </w:pPr>
            <w:r>
              <w:rPr>
                <w:rFonts w:hint="eastAsia" w:ascii="仿宋" w:hAnsi="仿宋" w:eastAsia="仿宋"/>
                <w:b/>
                <w:bCs/>
                <w:szCs w:val="21"/>
                <w:highlight w:val="none"/>
                <w:lang w:val="en-US" w:eastAsia="zh-CN"/>
              </w:rPr>
              <w:t>3）平台须提供配套的配套服务包括但不限于数据统计及分析服务功能、实时查询服务订单及物流配送信息功能、</w:t>
            </w:r>
            <w:r>
              <w:rPr>
                <w:rFonts w:hint="default" w:ascii="仿宋" w:hAnsi="仿宋" w:eastAsia="仿宋"/>
                <w:b/>
                <w:bCs/>
                <w:szCs w:val="21"/>
                <w:highlight w:val="none"/>
                <w:lang w:val="en-US" w:eastAsia="zh-CN"/>
              </w:rPr>
              <w:t>机采血小板交通补助的发放功能</w:t>
            </w:r>
            <w:r>
              <w:rPr>
                <w:rFonts w:hint="eastAsia" w:ascii="仿宋" w:hAnsi="仿宋" w:eastAsia="仿宋"/>
                <w:b/>
                <w:bCs/>
                <w:szCs w:val="21"/>
                <w:highlight w:val="none"/>
                <w:lang w:val="en-US" w:eastAsia="zh-CN"/>
              </w:rPr>
              <w:t>、完善的后台审计功能、自动化对账管理功能、用户评价功能、线上线下领取登记管理功能、在线客服功能等。</w:t>
            </w:r>
          </w:p>
          <w:p>
            <w:pPr>
              <w:pStyle w:val="2"/>
              <w:spacing w:line="360" w:lineRule="auto"/>
              <w:ind w:left="0" w:leftChars="0" w:firstLine="0" w:firstLineChars="0"/>
              <w:rPr>
                <w:rFonts w:hint="default" w:ascii="仿宋" w:hAnsi="仿宋" w:eastAsia="仿宋" w:cs="Times New Roman"/>
                <w:b/>
                <w:bCs/>
                <w:kern w:val="2"/>
                <w:sz w:val="21"/>
                <w:szCs w:val="21"/>
                <w:highlight w:val="none"/>
                <w:lang w:val="en-US" w:eastAsia="zh-CN" w:bidi="ar-SA"/>
              </w:rPr>
            </w:pPr>
            <w:r>
              <w:rPr>
                <w:rFonts w:hint="eastAsia" w:ascii="仿宋" w:hAnsi="仿宋" w:eastAsia="仿宋" w:cs="Times New Roman"/>
                <w:b/>
                <w:bCs/>
                <w:kern w:val="2"/>
                <w:sz w:val="21"/>
                <w:szCs w:val="21"/>
                <w:highlight w:val="none"/>
                <w:lang w:val="en-US" w:eastAsia="zh-CN" w:bidi="ar-SA"/>
              </w:rPr>
              <w:t>4）平台界面可根据采购人需求，结合南宁献血IP形象邕小献实现界面定制设计和展示，配合活动宣传弹窗展示活动海报。</w:t>
            </w:r>
          </w:p>
          <w:p>
            <w:pPr>
              <w:spacing w:line="360" w:lineRule="auto"/>
              <w:jc w:val="left"/>
              <w:rPr>
                <w:rFonts w:hint="default" w:ascii="仿宋" w:hAnsi="仿宋" w:eastAsia="仿宋"/>
                <w:b/>
                <w:bCs/>
                <w:szCs w:val="21"/>
                <w:highlight w:val="none"/>
                <w:lang w:val="en-US" w:eastAsia="zh-CN"/>
              </w:rPr>
            </w:pPr>
            <w:r>
              <w:rPr>
                <w:rFonts w:hint="eastAsia" w:ascii="仿宋" w:hAnsi="仿宋" w:eastAsia="仿宋"/>
                <w:b/>
                <w:bCs/>
                <w:szCs w:val="21"/>
                <w:highlight w:val="none"/>
                <w:lang w:val="en-US" w:eastAsia="zh-CN"/>
              </w:rPr>
              <w:t>3、其他要求：</w:t>
            </w:r>
          </w:p>
          <w:p>
            <w:pPr>
              <w:spacing w:line="360" w:lineRule="auto"/>
              <w:jc w:val="left"/>
              <w:rPr>
                <w:rFonts w:hint="eastAsia" w:ascii="仿宋" w:hAnsi="仿宋" w:eastAsia="仿宋"/>
                <w:b/>
                <w:bCs/>
                <w:szCs w:val="21"/>
                <w:highlight w:val="none"/>
                <w:lang w:val="en-US" w:eastAsia="zh-CN"/>
              </w:rPr>
            </w:pPr>
            <w:r>
              <w:rPr>
                <w:rFonts w:hint="eastAsia" w:ascii="仿宋" w:hAnsi="仿宋" w:eastAsia="仿宋"/>
                <w:b/>
                <w:bCs/>
                <w:szCs w:val="21"/>
                <w:highlight w:val="none"/>
                <w:lang w:val="en-US" w:eastAsia="zh-CN"/>
              </w:rPr>
              <w:t>1）服务平台搭建在一定时限内完成，在服务方案中明确搭建时限。</w:t>
            </w:r>
          </w:p>
          <w:p>
            <w:pPr>
              <w:spacing w:line="360" w:lineRule="auto"/>
              <w:jc w:val="left"/>
              <w:rPr>
                <w:rFonts w:ascii="仿宋" w:hAnsi="仿宋" w:eastAsia="仿宋"/>
                <w:b/>
                <w:bCs/>
                <w:szCs w:val="21"/>
                <w:highlight w:val="none"/>
              </w:rPr>
            </w:pPr>
            <w:r>
              <w:rPr>
                <w:rFonts w:hint="eastAsia" w:ascii="仿宋" w:hAnsi="仿宋" w:eastAsia="仿宋"/>
                <w:b/>
                <w:bCs/>
                <w:szCs w:val="21"/>
                <w:highlight w:val="none"/>
                <w:lang w:val="en-US" w:eastAsia="zh-CN"/>
              </w:rPr>
              <w:t>2）提供完整的平台服务方案，至少包括服务的兑换方案及售后服务方案。</w:t>
            </w:r>
          </w:p>
        </w:tc>
      </w:tr>
    </w:tbl>
    <w:p>
      <w:pPr>
        <w:spacing w:line="520" w:lineRule="exact"/>
        <w:jc w:val="left"/>
        <w:rPr>
          <w:rFonts w:ascii="仿宋" w:hAnsi="仿宋" w:eastAsia="仿宋"/>
          <w:b/>
          <w:bCs/>
          <w:sz w:val="30"/>
          <w:szCs w:val="30"/>
          <w:highlight w:val="none"/>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7A"/>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1OTYxMGJlMWJmNjExY2U0NjhkNjQyNTliMDRjN2UifQ=="/>
  </w:docVars>
  <w:rsids>
    <w:rsidRoot w:val="1FFE6359"/>
    <w:rsid w:val="1FFE6359"/>
    <w:rsid w:val="727E16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List 2"/>
    <w:basedOn w:val="1"/>
    <w:qFormat/>
    <w:uiPriority w:val="0"/>
    <w:pPr>
      <w:ind w:left="400" w:leftChars="200" w:hanging="200" w:hangingChars="200"/>
    </w:pPr>
    <w:rPr>
      <w:sz w:val="28"/>
    </w:rPr>
  </w:style>
  <w:style w:type="paragraph" w:styleId="3">
    <w:name w:val="footer"/>
    <w:basedOn w:val="1"/>
    <w:qFormat/>
    <w:uiPriority w:val="0"/>
    <w:pPr>
      <w:tabs>
        <w:tab w:val="center" w:pos="4153"/>
        <w:tab w:val="right" w:pos="8306"/>
      </w:tabs>
      <w:snapToGrid w:val="0"/>
      <w:jc w:val="left"/>
    </w:pPr>
    <w:rPr>
      <w:rFonts w:ascii="Times New Roman" w:hAnsi="Times New Roman" w:eastAsia="宋体" w:cs="Times New Roman"/>
      <w:sz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864</Words>
  <Characters>894</Characters>
  <Lines>0</Lines>
  <Paragraphs>0</Paragraphs>
  <TotalTime>0</TotalTime>
  <ScaleCrop>false</ScaleCrop>
  <LinksUpToDate>false</LinksUpToDate>
  <CharactersWithSpaces>894</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2023-03-23T03:35:00Z</dcterms:created>
  <dc:creator>WPS</dc:creator>
  <cp:lastModifiedBy>WPS</cp:lastModifiedBy>
  <dcterms:modified xsi:type="dcterms:W3CDTF">2023-03-23T06:46:20Z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8F884ED4B632462D8F761A6D769DB5CA</vt:lpwstr>
  </property>
</Properties>
</file>