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EC" w:rsidRDefault="009E33EC" w:rsidP="009E33EC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附件1</w:t>
      </w:r>
    </w:p>
    <w:p w:rsidR="009E33EC" w:rsidRDefault="009E33EC" w:rsidP="009E33EC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p w:rsidR="009E33EC" w:rsidRDefault="009E33EC" w:rsidP="009E33EC">
      <w:pPr>
        <w:pStyle w:val="a4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</w:t>
      </w:r>
      <w:r w:rsidRPr="00BB21E4">
        <w:rPr>
          <w:rFonts w:asciiTheme="minorEastAsia" w:hAnsiTheme="minorEastAsia" w:cstheme="minorEastAsia" w:hint="eastAsia"/>
          <w:b/>
          <w:szCs w:val="21"/>
        </w:rPr>
        <w:t>说明：</w:t>
      </w:r>
      <w:r>
        <w:rPr>
          <w:rFonts w:hAnsi="宋体" w:hint="eastAsia"/>
          <w:b/>
        </w:rPr>
        <w:t>本采购需求一览表中标注</w:t>
      </w:r>
      <w:r>
        <w:rPr>
          <w:rFonts w:hint="eastAsia"/>
        </w:rPr>
        <w:t>▲</w:t>
      </w:r>
      <w:r>
        <w:rPr>
          <w:rFonts w:hAnsi="宋体" w:hint="eastAsia"/>
          <w:b/>
        </w:rPr>
        <w:t>号的内容为实质性要求和条件</w:t>
      </w:r>
      <w:r w:rsidRPr="0007535A">
        <w:rPr>
          <w:rFonts w:hAnsi="宋体" w:hint="eastAsia"/>
          <w:b/>
        </w:rPr>
        <w:t>，响应人必须满足或优于，不满足或负偏离视为无效响应。</w:t>
      </w:r>
    </w:p>
    <w:tbl>
      <w:tblPr>
        <w:tblW w:w="9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123"/>
        <w:gridCol w:w="866"/>
        <w:gridCol w:w="5568"/>
        <w:gridCol w:w="1400"/>
      </w:tblGrid>
      <w:tr w:rsidR="009E33EC" w:rsidTr="009A7098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货物名称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Ansi="宋体" w:hint="eastAsia"/>
                <w:szCs w:val="21"/>
              </w:rPr>
              <w:t>★</w:t>
            </w:r>
            <w:r>
              <w:rPr>
                <w:rFonts w:ascii="宋体" w:hAnsi="宋体" w:hint="eastAsia"/>
                <w:b/>
                <w:szCs w:val="21"/>
              </w:rPr>
              <w:t>技术参数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预算合价（元）</w:t>
            </w:r>
          </w:p>
        </w:tc>
      </w:tr>
      <w:tr w:rsidR="009E33EC" w:rsidTr="009A7098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szCs w:val="21"/>
              </w:rPr>
            </w:pPr>
            <w:r w:rsidRPr="0080704F">
              <w:rPr>
                <w:rFonts w:ascii="宋体" w:hAnsi="宋体" w:hint="eastAsia"/>
                <w:szCs w:val="21"/>
              </w:rPr>
              <w:t>资产</w:t>
            </w:r>
            <w:proofErr w:type="gramStart"/>
            <w:r w:rsidRPr="0080704F">
              <w:rPr>
                <w:rFonts w:ascii="宋体" w:hAnsi="宋体" w:hint="eastAsia"/>
                <w:szCs w:val="21"/>
              </w:rPr>
              <w:t>安全运</w:t>
            </w:r>
            <w:proofErr w:type="gramEnd"/>
            <w:r w:rsidRPr="0080704F">
              <w:rPr>
                <w:rFonts w:ascii="宋体" w:hAnsi="宋体" w:hint="eastAsia"/>
                <w:szCs w:val="21"/>
              </w:rPr>
              <w:t>维平台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1套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▲一、基本要求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1U机架式设备，配置6个</w:t>
            </w:r>
            <w:proofErr w:type="gramStart"/>
            <w:r>
              <w:rPr>
                <w:rFonts w:hint="eastAsia"/>
              </w:rPr>
              <w:t>千兆电口</w:t>
            </w:r>
            <w:proofErr w:type="gramEnd"/>
            <w:r>
              <w:rPr>
                <w:rFonts w:hint="eastAsia"/>
              </w:rPr>
              <w:t>,2个USB口，4核/8线程CPU处理器，2T硬盘存储空间，32G内存，冗余电源。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▲二、授权许可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为了实现简洁的</w:t>
            </w:r>
            <w:proofErr w:type="gramStart"/>
            <w:r>
              <w:rPr>
                <w:rFonts w:hint="eastAsia"/>
              </w:rPr>
              <w:t>安全运</w:t>
            </w:r>
            <w:proofErr w:type="gramEnd"/>
            <w:r>
              <w:rPr>
                <w:rFonts w:hint="eastAsia"/>
              </w:rPr>
              <w:t>维，必须在同一个平台上实现以下所有授权功能，不能以平台+多个产品的形式提供，采购人有权在中标后5个工作日内要求提供测试样机进行逐项验证，如有虚假应标，废除其中标资格：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1、扫描次数授权：无限制；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2、扫描IP/域名范围授权：无限制；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3、提供可管理主机资产授权数：无限制；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4、提供可管理网站资产授权数：无限制；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5、蜜罐IP数量授权许可：无限制；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6、资产仿真授权许可：无限制；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7、主机Agent安装授权数量：200；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8、提供二次开发接口授权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三、功能指标参数：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1、支持自动扫描IP资产信息，包括：“存活IP、设备厂商、操作系统、端口、应用、数据库、中间件、服务版本”等资产指纹特征。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2、支持自动识别网站资产信息，包括：“中间件信息、web框架信息、CMS&amp;OA、程序语言”等指纹信息，</w:t>
            </w:r>
            <w:proofErr w:type="gramStart"/>
            <w:r>
              <w:rPr>
                <w:rFonts w:hint="eastAsia"/>
              </w:rPr>
              <w:t>支持爬取网站</w:t>
            </w:r>
            <w:proofErr w:type="gramEnd"/>
            <w:r>
              <w:rPr>
                <w:rFonts w:hint="eastAsia"/>
              </w:rPr>
              <w:t>后台、ICP备案编号、网站标题、网站返回码等属性。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▲3、支持二级域名扫描功能，输入一级域名进行一键扫描，通过搜索互联网数据，自动获取到该域名的二级域名、网站标题、解析IP地址。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提供产品界面截图并盖章确认（</w:t>
            </w:r>
            <w:r>
              <w:rPr>
                <w:rFonts w:hint="eastAsia"/>
                <w:b/>
                <w:highlight w:val="yellow"/>
              </w:rPr>
              <w:t>证明材料</w:t>
            </w:r>
            <w:r w:rsidRPr="00B7532F">
              <w:rPr>
                <w:rFonts w:hint="eastAsia"/>
                <w:b/>
                <w:highlight w:val="yellow"/>
              </w:rPr>
              <w:t>1</w:t>
            </w:r>
            <w:r>
              <w:rPr>
                <w:rFonts w:hint="eastAsia"/>
                <w:b/>
                <w:highlight w:val="yellow"/>
              </w:rPr>
              <w:t>，必须提供项</w:t>
            </w:r>
            <w:r w:rsidRPr="00B7532F">
              <w:rPr>
                <w:rFonts w:hint="eastAsia"/>
                <w:b/>
                <w:highlight w:val="yellow"/>
              </w:rPr>
              <w:t>）。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▲4、输入IP或者网段，通过搜索互联网数据，自动获取</w:t>
            </w:r>
            <w:r>
              <w:rPr>
                <w:rFonts w:hint="eastAsia"/>
              </w:rPr>
              <w:lastRenderedPageBreak/>
              <w:t>到IP对应的域名、</w:t>
            </w:r>
            <w:proofErr w:type="spellStart"/>
            <w:r>
              <w:rPr>
                <w:rFonts w:hint="eastAsia"/>
              </w:rPr>
              <w:t>url</w:t>
            </w:r>
            <w:proofErr w:type="spellEnd"/>
            <w:r>
              <w:rPr>
                <w:rFonts w:hint="eastAsia"/>
              </w:rPr>
              <w:t>链接、网站标题、返回状态码。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（证明材料2，必须提供项）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▲5、</w:t>
            </w:r>
            <w:proofErr w:type="gramStart"/>
            <w:r>
              <w:rPr>
                <w:rFonts w:hint="eastAsia"/>
              </w:rPr>
              <w:t>通过爬取企业单位</w:t>
            </w:r>
            <w:proofErr w:type="gramEnd"/>
            <w:r>
              <w:rPr>
                <w:rFonts w:hint="eastAsia"/>
              </w:rPr>
              <w:t>已知的网站页面，分析网页中是否包含企业单位相关的网站链接，从而发现未知网站；可配置“网段、域名”等命中规则，自动判断是否属于企业单位的网址。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（证明材料3，必须提供项）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6、可及时发现未存活IP、未存活端口以及访问延迟的网站，可查看未存活IP列表、未存活端口列表，可对未存活的资产进行移除操作。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7、可按最近一周、最近一个月、最近一个季度可查新增的主机IP资产、网站资产，掌握资产新增趋势。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8、资产责任人可认领IP、网站资产，可显示资产认领状态，未认领的资产无法进行编辑。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9、支持网站漏洞评估能力，提供多种Web应用漏洞的安全检测，如“SQL注入、跨站脚本、文件包含、CSRF、目录遍历”等网站脆弱性漏洞。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10、支持监测网站的可用性、域名劫持等事件。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11、高频率监测站点是否存在被黑客植入黑链、篡改的事件，系统需要保留植入黑链、篡改的快照页面，监测频率低至5分钟/次。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12、用户可对不同网站自定义不同的敏感词库，并对企业、单位的网站进行全站页面爬取，发现敏感词字眼。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▲13、可监测发布到网上的pdf、word、excel文件中是否包含“身份证号、邮箱、手机号码、用户名/密码”等敏感信息，可在系统上查看泄露的信息以及敏感文件下载链接。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（证明材料4，必须提供项）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▲14、漏洞库漏洞信息大于210000+条，与CVE、CNNVD等主流标准兼容，提供详细的漏洞描述和对应的解决方案描述。支持通过多种维度对漏洞进行检索，包括：CVE ID、CNNVD ID、漏洞名称、漏洞风险等级等维度。可基于资产的版本信息，全面、快速进行漏洞版本比对，兼容CVE 、CNNVD等漏洞库。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（证明材料5，必须提供项）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lastRenderedPageBreak/>
              <w:t>15、集成多种POC对内</w:t>
            </w:r>
            <w:proofErr w:type="gramStart"/>
            <w:r>
              <w:rPr>
                <w:rFonts w:hint="eastAsia"/>
              </w:rPr>
              <w:t>网资产</w:t>
            </w:r>
            <w:proofErr w:type="gramEnd"/>
            <w:r>
              <w:rPr>
                <w:rFonts w:hint="eastAsia"/>
              </w:rPr>
              <w:t>进行自动漏洞验证与渗透，发现可导致数据泄露、系统入侵 、越权等可入侵漏洞，先于黑客发现此类漏洞，主动发现。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16、支持各类应用资产的弱口令扫描，可扫描的应用包括“SSH\SMB\RDP\TELNET\FTP\POP3\VNC\SNMP\VMAUTHD\POSTGRES\MSSQL\MYSQL\ORACLE”支持自定义字典，支持设置弱口令扫描白名单，可以指定某个</w:t>
            </w:r>
            <w:proofErr w:type="spellStart"/>
            <w:r>
              <w:rPr>
                <w:rFonts w:hint="eastAsia"/>
              </w:rPr>
              <w:t>ip</w:t>
            </w:r>
            <w:proofErr w:type="spellEnd"/>
            <w:r>
              <w:rPr>
                <w:rFonts w:hint="eastAsia"/>
              </w:rPr>
              <w:t>某个应用不执行弱口令扫描。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▲17、支持漏洞跟踪管理，能够自动对漏洞状态进行处置，自动识别“新增、已修复、未修复”的漏洞，同时支持人工方式进行漏洞状态处置，以及编写漏洞备注。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（证明材料6，必须提供项）。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18、支持20种以上常见设备和应用的配置检查，包括操作系统、应用中间件、数据库、操作系统，支持Windows 2003/2008/2012/2016/2019/7/8/10/11；支持</w:t>
            </w:r>
            <w:proofErr w:type="spellStart"/>
            <w:r>
              <w:rPr>
                <w:rFonts w:hint="eastAsia"/>
              </w:rPr>
              <w:t>linux</w:t>
            </w:r>
            <w:proofErr w:type="spellEnd"/>
            <w:r>
              <w:rPr>
                <w:rFonts w:hint="eastAsia"/>
              </w:rPr>
              <w:t>（Centos、</w:t>
            </w:r>
            <w:proofErr w:type="spellStart"/>
            <w:r>
              <w:rPr>
                <w:rFonts w:hint="eastAsia"/>
              </w:rPr>
              <w:t>Redhat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suse</w:t>
            </w:r>
            <w:proofErr w:type="spellEnd"/>
            <w:r>
              <w:rPr>
                <w:rFonts w:hint="eastAsia"/>
              </w:rPr>
              <w:t>等）；应用服务，支持Linux、Windows下的Apache、</w:t>
            </w:r>
            <w:proofErr w:type="spellStart"/>
            <w:r>
              <w:rPr>
                <w:rFonts w:hint="eastAsia"/>
              </w:rPr>
              <w:t>Weblogic</w:t>
            </w:r>
            <w:proofErr w:type="spellEnd"/>
            <w:r>
              <w:rPr>
                <w:rFonts w:hint="eastAsia"/>
              </w:rPr>
              <w:t>、TOMCAT、</w:t>
            </w:r>
            <w:proofErr w:type="spellStart"/>
            <w:r>
              <w:rPr>
                <w:rFonts w:hint="eastAsia"/>
              </w:rPr>
              <w:t>Websphere</w:t>
            </w:r>
            <w:proofErr w:type="spellEnd"/>
            <w:r>
              <w:rPr>
                <w:rFonts w:hint="eastAsia"/>
              </w:rPr>
              <w:t>、Nginx，以及windows 2003/2008/2012/下IIS 6/7/8；数据库，支持Linux、Windows下Oracle8i/9i/10/11g、</w:t>
            </w:r>
            <w:proofErr w:type="spellStart"/>
            <w:r>
              <w:rPr>
                <w:rFonts w:hint="eastAsia"/>
              </w:rPr>
              <w:t>Mysql</w:t>
            </w:r>
            <w:proofErr w:type="spellEnd"/>
            <w:r>
              <w:rPr>
                <w:rFonts w:hint="eastAsia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19、无需在用户服务器上安装agent，可通过trunk方式将诱捕能力发布到全内网各</w:t>
            </w:r>
            <w:proofErr w:type="spellStart"/>
            <w:r>
              <w:rPr>
                <w:rFonts w:hint="eastAsia"/>
              </w:rPr>
              <w:t>vlan</w:t>
            </w:r>
            <w:proofErr w:type="spellEnd"/>
            <w:r>
              <w:rPr>
                <w:rFonts w:hint="eastAsia"/>
              </w:rPr>
              <w:t>网段，实现</w:t>
            </w:r>
            <w:proofErr w:type="gramStart"/>
            <w:r>
              <w:rPr>
                <w:rFonts w:hint="eastAsia"/>
              </w:rPr>
              <w:t>在全内网中</w:t>
            </w:r>
            <w:proofErr w:type="gramEnd"/>
            <w:r>
              <w:rPr>
                <w:rFonts w:hint="eastAsia"/>
              </w:rPr>
              <w:t>部署大量高交互病毒监测诱饵，无侵入</w:t>
            </w:r>
            <w:proofErr w:type="gramStart"/>
            <w:r>
              <w:rPr>
                <w:rFonts w:hint="eastAsia"/>
              </w:rPr>
              <w:t>式部署</w:t>
            </w:r>
            <w:proofErr w:type="gramEnd"/>
            <w:r>
              <w:rPr>
                <w:rFonts w:hint="eastAsia"/>
              </w:rPr>
              <w:t>不影响用户业务运行，同时极大提高黑客攻击病毒监测诱饵的概率。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20、探针支持trunk接入客户网络，可通过trunk方式将诱捕能力发布到全内网各</w:t>
            </w:r>
            <w:proofErr w:type="spellStart"/>
            <w:r>
              <w:rPr>
                <w:rFonts w:hint="eastAsia"/>
              </w:rPr>
              <w:t>vlan</w:t>
            </w:r>
            <w:proofErr w:type="spellEnd"/>
            <w:r>
              <w:rPr>
                <w:rFonts w:hint="eastAsia"/>
              </w:rPr>
              <w:t>网段，实现</w:t>
            </w:r>
            <w:proofErr w:type="gramStart"/>
            <w:r>
              <w:rPr>
                <w:rFonts w:hint="eastAsia"/>
              </w:rPr>
              <w:t>在全内网中</w:t>
            </w:r>
            <w:proofErr w:type="gramEnd"/>
            <w:r>
              <w:rPr>
                <w:rFonts w:hint="eastAsia"/>
              </w:rPr>
              <w:t>部署大量高交互病毒监测诱饵，同时支持软件和硬件版本的流量牵引探针。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▲21、支持高交互病毒监测诱饵，并可同时启用：“samba、ftp、</w:t>
            </w:r>
            <w:proofErr w:type="spellStart"/>
            <w:r>
              <w:rPr>
                <w:rFonts w:hint="eastAsia"/>
              </w:rPr>
              <w:t>ssh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rdp</w:t>
            </w:r>
            <w:proofErr w:type="spellEnd"/>
            <w:r>
              <w:rPr>
                <w:rFonts w:hint="eastAsia"/>
              </w:rPr>
              <w:t>、telnet、</w:t>
            </w:r>
            <w:proofErr w:type="spellStart"/>
            <w:r>
              <w:rPr>
                <w:rFonts w:hint="eastAsia"/>
              </w:rPr>
              <w:t>mssql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mysql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mongoDB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postgresql</w:t>
            </w:r>
            <w:proofErr w:type="spellEnd"/>
            <w:r>
              <w:rPr>
                <w:rFonts w:hint="eastAsia"/>
              </w:rPr>
              <w:t>、tomcat、</w:t>
            </w:r>
            <w:proofErr w:type="spellStart"/>
            <w:r>
              <w:rPr>
                <w:rFonts w:hint="eastAsia"/>
              </w:rPr>
              <w:t>weblogic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jenkins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redis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hadoop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memcache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solr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activeMQ</w:t>
            </w:r>
            <w:proofErr w:type="spellEnd"/>
            <w:r>
              <w:rPr>
                <w:rFonts w:hint="eastAsia"/>
              </w:rPr>
              <w:t>、struts2、</w:t>
            </w:r>
            <w:proofErr w:type="spellStart"/>
            <w:r>
              <w:rPr>
                <w:rFonts w:hint="eastAsia"/>
              </w:rPr>
              <w:t>wordpress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nginx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jboss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joomla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smtp</w:t>
            </w:r>
            <w:proofErr w:type="spellEnd"/>
            <w:r>
              <w:rPr>
                <w:rFonts w:hint="eastAsia"/>
              </w:rPr>
              <w:t>”等，以上服务须为真实应用服务，能够正常交互，欺骗攻击者。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（证明材料7，必须提供项）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lastRenderedPageBreak/>
              <w:t>▲22、不需要联动第三方设备、不需要在主机上安装agent脚本，就能对失陷主机进行网络隔离，隔离后失陷主机无法访问同网段以及其它网段IP，防止失陷主机继续对东西向主机进行病毒传播、横向攻击等行为。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（证明材料8，必须提供项）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23、在web管理界面上，支持对已隔离的失陷主机取消微隔离，恢复失陷主机的网络访问权限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▲24、支持至少10种可自定义logo和公司名称的仿真蜜罐，仿真蜜罐类型包括但不限于：“齐治堡垒机、启明堡垒机、深信服VPN、泛微OA、通达OA、u8crm、wiki、</w:t>
            </w:r>
            <w:proofErr w:type="spellStart"/>
            <w:r>
              <w:rPr>
                <w:rFonts w:hint="eastAsia"/>
              </w:rPr>
              <w:t>mailcow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bbs</w:t>
            </w:r>
            <w:proofErr w:type="spellEnd"/>
            <w:r>
              <w:rPr>
                <w:rFonts w:hint="eastAsia"/>
              </w:rPr>
              <w:t>论坛、订单管理系统”。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（证明材料9，必须提供项）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▲25、支持通过反向代理的方式，接入用户自身搭建的应用系统，从而实现完全仿真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系统，生成完全仿真蜜罐。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（证明材料10，必须提供项）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▲26、支持智能克隆仿真功能，可以通过自学习的模式对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系统进行遍历访问，形成机器记忆，与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一样可进行前后端的数据交互，包括但不限于以下动态交互类型：“搜索查询、登陆验证、账号注册”等，高迷惑性地吸引攻击者攻击蜜罐，要求拟态仿真蜜罐系统为纯静态系统，无需额外提供蜜罐定制服务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（证明材料11，必须提供项）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▲27、可将访问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系统的流量引流到仿真蜜罐，使攻击无法命中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系统，真正有效消耗攻击资源，并直接保护真实资产。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（证明材料12，必须提供项）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28、可在web管理界面上自定义生成</w:t>
            </w:r>
            <w:proofErr w:type="spellStart"/>
            <w:r>
              <w:rPr>
                <w:rFonts w:hint="eastAsia"/>
              </w:rPr>
              <w:t>github</w:t>
            </w:r>
            <w:proofErr w:type="spellEnd"/>
            <w:r>
              <w:rPr>
                <w:rFonts w:hint="eastAsia"/>
              </w:rPr>
              <w:t>互联网诱饵，可自定义添加蜜罐IP地址、</w:t>
            </w:r>
            <w:proofErr w:type="spellStart"/>
            <w:r>
              <w:rPr>
                <w:rFonts w:hint="eastAsia"/>
              </w:rPr>
              <w:t>github</w:t>
            </w:r>
            <w:proofErr w:type="spellEnd"/>
            <w:r>
              <w:rPr>
                <w:rFonts w:hint="eastAsia"/>
              </w:rPr>
              <w:t>项目说明、项目提交人信息、邮箱信息等内容，以便黑客可以从互联网上搜索到自定义信息内容，从而转向攻击蜜罐。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▲29、参考MITRE ATT&amp;CK，采用多种取证技术手段，还原黑客攻击入侵蜜罐的过程，形成黑客攻击链，攻击链检测包含：“针对蜜罐的探测扫描、渗透攻击、攻陷蜜罐、在蜜</w:t>
            </w:r>
            <w:r>
              <w:rPr>
                <w:rFonts w:hint="eastAsia"/>
              </w:rPr>
              <w:lastRenderedPageBreak/>
              <w:t>罐上安装后门远控程序、利用蜜罐进行跳板攻击”等入侵过程。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（证明材料13，必须提供项）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30、支持还原攻击者的网络数据包，包括</w:t>
            </w:r>
            <w:proofErr w:type="spellStart"/>
            <w:r>
              <w:rPr>
                <w:rFonts w:hint="eastAsia"/>
              </w:rPr>
              <w:t>icmp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tcp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udp</w:t>
            </w:r>
            <w:proofErr w:type="spellEnd"/>
            <w:r>
              <w:rPr>
                <w:rFonts w:hint="eastAsia"/>
              </w:rPr>
              <w:t>等协议的攻击包，可查看攻击者发起的具体攻击请求数据，比如SQL注入、XSS攻击的http请求头部信息。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31、支持时间轴告警分析：可根据基于告警时间/攻击类型/地理位置等对攻击行为进行筛查，其中攻击类型可分类为：“可疑访问、尝试登陆、端口扫描、攻击尝试、强力攻击、异常进程、暴力破解、登陆成功、命令执行、可疑文件、恶意文件、跳板攻击”等类型，对于攻击事件分析起关键作用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▲32、支持记录攻击者的“黑客社交画像”信息，包括社交账号、手机号、昵称、用户ID、头像等信息，支持多种黑客社交画像，至少包括：QQ、百度、</w:t>
            </w:r>
            <w:proofErr w:type="gramStart"/>
            <w:r>
              <w:rPr>
                <w:rFonts w:hint="eastAsia"/>
              </w:rPr>
              <w:t>哔</w:t>
            </w:r>
            <w:proofErr w:type="gramEnd"/>
            <w:r>
              <w:rPr>
                <w:rFonts w:hint="eastAsia"/>
              </w:rPr>
              <w:t>哩</w:t>
            </w:r>
            <w:proofErr w:type="gramStart"/>
            <w:r>
              <w:rPr>
                <w:rFonts w:hint="eastAsia"/>
              </w:rPr>
              <w:t>哔</w:t>
            </w:r>
            <w:proofErr w:type="gramEnd"/>
            <w:r>
              <w:rPr>
                <w:rFonts w:hint="eastAsia"/>
              </w:rPr>
              <w:t>哩等6种不同类型的社交账号。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（证明材料14，必须提供项）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33、可基于显卡成像参数、CPU等硬件信息，计算攻击者唯一身份指纹,就算攻击者换了IP也可以通过该指纹确定攻击者。34、设备指纹溯源至少包括：操作系统信息、浏览器指纹、浏览器类型、mac地址、设备厂商、屏幕分辨率、浏览器历史记录、计算机名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▲35、可警告攻击者，比如灌输国家网络安全法、告知已获得相关溯源信息，发挥蜜罐威慑作用，使攻击者放弃后续的攻击行为；可灵活指定对某个攻击源IP地址发起威慑反制。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（证明材料15，必须提供项）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36、可使攻击者浏览器拒绝服务，可灵活指定对某个攻击源IP地址发起拒绝服务反制。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37、可使攻击者在连接数据库类模拟应用时，识别攻击者身份信息。包括但不限于:计算机名称、使用浏览器版本、浏览器历史记录、浏览器上记录的访问账号等。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▲38、可使攻击者下载某个文件时，替换成木马文件，诱骗攻击者下载安装；可在web管理界面上灵活指定对某个</w:t>
            </w:r>
            <w:r>
              <w:rPr>
                <w:rFonts w:hint="eastAsia"/>
              </w:rPr>
              <w:lastRenderedPageBreak/>
              <w:t>攻击源IP地址发起木马</w:t>
            </w:r>
            <w:proofErr w:type="gramStart"/>
            <w:r>
              <w:rPr>
                <w:rFonts w:hint="eastAsia"/>
              </w:rPr>
              <w:t>远控反</w:t>
            </w:r>
            <w:proofErr w:type="gramEnd"/>
            <w:r>
              <w:rPr>
                <w:rFonts w:hint="eastAsia"/>
              </w:rPr>
              <w:t>制。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（证明材料16，必须提供项）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39、支持一键扫描攻击源IP地址，探测攻击者主机的开放端口信息、弱口令、漏洞等。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▲40、在用户的服务器、业务系统上安装安全监控软件，主动监测恶意文件（</w:t>
            </w:r>
            <w:proofErr w:type="spellStart"/>
            <w:r>
              <w:rPr>
                <w:rFonts w:hint="eastAsia"/>
              </w:rPr>
              <w:t>webshell</w:t>
            </w:r>
            <w:proofErr w:type="spellEnd"/>
            <w:r>
              <w:rPr>
                <w:rFonts w:hint="eastAsia"/>
              </w:rPr>
              <w:t>、病毒木马）、挖矿病毒、可疑进程、异常行为等，发现可疑的入侵事件，并实时将告警同步到服务平台。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（证明材料17，必须提供项）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41、安全监控软件支持自定义下发服务器入侵检测任务，可指定扫描某个文件目录，以及实时检测变更或者新增的可疑文件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42、安全监控软件恶意文件检测包含：</w:t>
            </w:r>
            <w:proofErr w:type="spellStart"/>
            <w:r>
              <w:rPr>
                <w:rFonts w:hint="eastAsia"/>
              </w:rPr>
              <w:t>Webshell</w:t>
            </w:r>
            <w:proofErr w:type="spellEnd"/>
            <w:r>
              <w:rPr>
                <w:rFonts w:hint="eastAsia"/>
              </w:rPr>
              <w:t>网马、病毒木马、攻击脚本、宏病毒文件等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43、安全监控软件支持检测挖矿病毒，识别挖矿程序文件、挖矿进程名称、进程号、运行参数、CPU运行异常状态、网络连接状态、病毒程序打开的文件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▲44、安全监控软件可检测网站文件的篡改行为，包括：“创建、写入、修改权限、重命名、删除”等篡改行为。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（证明材料18，必须提供项）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45、支持生成各个主机的安全监测报表、各个网站的安全监测报表，报表类型包括：excel、word、html。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46、支持生成主机安全监测综合报表、网站安全监测综合报表，报表类型包括：excel、word、html。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47、支持生成某个监测维度报表，包括：敏感</w:t>
            </w:r>
            <w:proofErr w:type="gramStart"/>
            <w:r>
              <w:rPr>
                <w:rFonts w:hint="eastAsia"/>
              </w:rPr>
              <w:t>词事件</w:t>
            </w:r>
            <w:proofErr w:type="gramEnd"/>
            <w:r>
              <w:rPr>
                <w:rFonts w:hint="eastAsia"/>
              </w:rPr>
              <w:t>报表、敏感文件事件报表、黑链事件报表、失陷主机事件报表、可用性事件报表、域名劫持事件报表、漏洞列表等各个监测维度的报表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48、展示整体安全监测概况，呈现主机资产信息以及主机监测雷达图，包含：“弱口令、可入侵漏洞、高风险漏洞”等概况；呈现攻击监测诱饵监测概况，包含：“失陷主机统计、攻击链统计、威胁趋势”等。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49、支持大屏展示功能，可视化呈现监测中心的数据，包括主机资产监测概况、攻击监测诱饵监测概况，大屏界面</w:t>
            </w:r>
            <w:r>
              <w:rPr>
                <w:rFonts w:hint="eastAsia"/>
              </w:rPr>
              <w:lastRenderedPageBreak/>
              <w:t>能够自动刷新监测数据，实时展示最新监测结果。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▲50、一级用户可创建与管理二级用户，并可给二级用户关联资产。多级用户管理，一级用户可查看与管理二级用户所有资产风险信息，二级用户只能查看与管理自身的资产风险信息。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（证明材料19，必须提供项）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▲51、</w:t>
            </w:r>
            <w:proofErr w:type="gramStart"/>
            <w:r>
              <w:rPr>
                <w:rFonts w:hint="eastAsia"/>
              </w:rPr>
              <w:t>支持微信告警</w:t>
            </w:r>
            <w:proofErr w:type="gramEnd"/>
            <w:r>
              <w:rPr>
                <w:rFonts w:hint="eastAsia"/>
              </w:rPr>
              <w:t>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（证明材料20，必须提供项）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52、支持邮件告警，可自定义告警邮箱。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53、支持创建三类角色用户：管理员、操作员、审计员，支持账号安全策略设置，可设置密码最长天数、最小天数、登录失败锁定次数、登录超时时间、登录IP地址白名单等安全策略。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四、其他要求</w:t>
            </w:r>
            <w:r w:rsidRPr="007A2799">
              <w:rPr>
                <w:rFonts w:hint="eastAsia"/>
                <w:b/>
              </w:rPr>
              <w:t>（响应供应商具有以下资质并提供相关证明材料，优先考虑）</w:t>
            </w:r>
            <w:r>
              <w:rPr>
                <w:rFonts w:hint="eastAsia"/>
              </w:rPr>
              <w:t>：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1、如厂商具备ISO9001质量管理体系认证资质，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>
              <w:rPr>
                <w:rFonts w:hint="eastAsia"/>
                <w:b/>
                <w:highlight w:val="yellow"/>
              </w:rPr>
              <w:t>21）</w:t>
            </w:r>
            <w:r w:rsidRPr="005E54B8">
              <w:rPr>
                <w:rFonts w:hint="eastAsia"/>
                <w:b/>
                <w:highlight w:val="yellow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2、如厂商具备“中国网络安全审查技术与认证中心”颁发的《信息系统安全运维》资质，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>
              <w:rPr>
                <w:rFonts w:hint="eastAsia"/>
                <w:b/>
                <w:highlight w:val="yellow"/>
              </w:rPr>
              <w:t>22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3、如厂商具备“中国网络安全审查技术与认证中心”颁发的《信息安全风险评估》资质，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>
              <w:rPr>
                <w:rFonts w:hint="eastAsia"/>
                <w:b/>
                <w:highlight w:val="yellow"/>
              </w:rPr>
              <w:t>23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4、如厂商具备中国信息安全测评中心颁发的国家信息安全漏洞库（CNNVD)技术支撑单位资质，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请提供相关资质证明（证明材料2</w:t>
            </w:r>
            <w:r>
              <w:rPr>
                <w:rFonts w:hint="eastAsia"/>
                <w:b/>
                <w:highlight w:val="yellow"/>
              </w:rPr>
              <w:t>4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</w:rPr>
              <w:t>。</w:t>
            </w:r>
          </w:p>
          <w:p w:rsidR="009E33EC" w:rsidRDefault="009E33EC" w:rsidP="009A7098">
            <w:pPr>
              <w:pStyle w:val="a4"/>
              <w:spacing w:line="400" w:lineRule="exact"/>
            </w:pPr>
            <w:r>
              <w:rPr>
                <w:rFonts w:hint="eastAsia"/>
              </w:rPr>
              <w:t>5、产品要求为国内开发，具备自主知识产权，类型为“Web应用安全检测系统”，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请提供相关资质证明（证明材料2</w:t>
            </w:r>
            <w:r>
              <w:rPr>
                <w:rFonts w:hint="eastAsia"/>
                <w:b/>
                <w:highlight w:val="yellow"/>
              </w:rPr>
              <w:t>5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  <w:b/>
                <w:highlight w:val="yellow"/>
              </w:rPr>
              <w:t>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Default="009E33EC" w:rsidP="009A7098">
            <w:pPr>
              <w:pStyle w:val="a3"/>
              <w:jc w:val="center"/>
            </w:pPr>
            <w:r>
              <w:rPr>
                <w:rFonts w:hint="eastAsia"/>
              </w:rPr>
              <w:lastRenderedPageBreak/>
              <w:t>99000.00</w:t>
            </w:r>
          </w:p>
        </w:tc>
      </w:tr>
      <w:tr w:rsidR="009E33EC" w:rsidTr="009A7098">
        <w:trPr>
          <w:trHeight w:val="851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33EC" w:rsidRDefault="009E33EC" w:rsidP="009A70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8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 xml:space="preserve">一、合同签订期：自中标通知书发出之日起 7 </w:t>
            </w:r>
            <w:proofErr w:type="gramStart"/>
            <w:r w:rsidRPr="00CA183D">
              <w:rPr>
                <w:rFonts w:asciiTheme="minorEastAsia" w:hAnsiTheme="minorEastAsia" w:cstheme="minorEastAsia" w:hint="eastAsia"/>
              </w:rPr>
              <w:t>个</w:t>
            </w:r>
            <w:proofErr w:type="gramEnd"/>
            <w:r w:rsidRPr="00CA183D">
              <w:rPr>
                <w:rFonts w:asciiTheme="minorEastAsia" w:hAnsiTheme="minorEastAsia" w:cstheme="minorEastAsia" w:hint="eastAsia"/>
              </w:rPr>
              <w:t>工作日内。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二、交货期：自合同签订之日起</w:t>
            </w:r>
            <w:r>
              <w:rPr>
                <w:rFonts w:asciiTheme="minorEastAsia" w:hAnsiTheme="minorEastAsia" w:cstheme="minorEastAsia" w:hint="eastAsia"/>
              </w:rPr>
              <w:t>15个日历日内</w:t>
            </w:r>
            <w:r w:rsidRPr="00CA183D">
              <w:rPr>
                <w:rFonts w:asciiTheme="minorEastAsia" w:hAnsiTheme="minorEastAsia" w:cstheme="minorEastAsia" w:hint="eastAsia"/>
              </w:rPr>
              <w:t>。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 xml:space="preserve">三、交货地点：由采购人指定地点。   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四、交货方式：现场交货。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▲五、售后服务及要求：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1、提供一年</w:t>
            </w:r>
            <w:proofErr w:type="gramStart"/>
            <w:r w:rsidRPr="00CA183D">
              <w:rPr>
                <w:rFonts w:asciiTheme="minorEastAsia" w:hAnsiTheme="minorEastAsia" w:cstheme="minorEastAsia" w:hint="eastAsia"/>
              </w:rPr>
              <w:t>售后维保服务</w:t>
            </w:r>
            <w:proofErr w:type="gramEnd"/>
            <w:r w:rsidRPr="00CA183D">
              <w:rPr>
                <w:rFonts w:asciiTheme="minorEastAsia" w:hAnsiTheme="minorEastAsia" w:cstheme="minorEastAsia" w:hint="eastAsia"/>
              </w:rPr>
              <w:t>，包括：400</w:t>
            </w:r>
            <w:proofErr w:type="gramStart"/>
            <w:r w:rsidRPr="00CA183D">
              <w:rPr>
                <w:rFonts w:asciiTheme="minorEastAsia" w:hAnsiTheme="minorEastAsia" w:cstheme="minorEastAsia" w:hint="eastAsia"/>
              </w:rPr>
              <w:t>远程支持</w:t>
            </w:r>
            <w:proofErr w:type="gramEnd"/>
            <w:r w:rsidRPr="00CA183D">
              <w:rPr>
                <w:rFonts w:asciiTheme="minorEastAsia" w:hAnsiTheme="minorEastAsia" w:cstheme="minorEastAsia" w:hint="eastAsia"/>
              </w:rPr>
              <w:t>服务、硬件售后维修服务、软件更新服务。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2、免费负责安装调试合格；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3、出现故障2小时内做出响应，8小时到达维修现场；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lastRenderedPageBreak/>
              <w:t>4、验收方法：产品需为原厂全新正品，完全符合招标技术参数要求，供货时需进行产品功能测试。中标人负责采购</w:t>
            </w:r>
            <w:proofErr w:type="gramStart"/>
            <w:r w:rsidRPr="00CA183D">
              <w:rPr>
                <w:rFonts w:asciiTheme="minorEastAsia" w:hAnsiTheme="minorEastAsia" w:cstheme="minorEastAsia" w:hint="eastAsia"/>
              </w:rPr>
              <w:t>人网络</w:t>
            </w:r>
            <w:proofErr w:type="gramEnd"/>
            <w:r w:rsidRPr="00CA183D">
              <w:rPr>
                <w:rFonts w:asciiTheme="minorEastAsia" w:hAnsiTheme="minorEastAsia" w:cstheme="minorEastAsia" w:hint="eastAsia"/>
              </w:rPr>
              <w:t>及安全设备的整体集成调试，为确保现有业务系统的稳定运行，以及功能的完整性，达不到要求的不予验收，视为产品验收不合格，同时采购人可解除合同并追究中标人相关法律责任。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★六、其他要求：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1、报价包括：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（1）货物的价格；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（2）货物的标准附件、备品备件、专用工具的价格；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（3）运输、装卸、调试、培训、技术支持、售后服务等费用；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（4）必要的保险费用和各项税费；</w:t>
            </w:r>
          </w:p>
          <w:p w:rsidR="009E33EC" w:rsidRPr="00CA183D" w:rsidRDefault="009E33EC" w:rsidP="009A7098">
            <w:pPr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（5）安装费用。</w:t>
            </w:r>
          </w:p>
          <w:p w:rsidR="009E33EC" w:rsidRPr="009A5920" w:rsidRDefault="009E33EC" w:rsidP="009A7098">
            <w:pPr>
              <w:widowControl/>
              <w:rPr>
                <w:rFonts w:asciiTheme="minorEastAsia" w:hAnsiTheme="minorEastAsia" w:cstheme="minorEastAsia"/>
              </w:rPr>
            </w:pPr>
            <w:r w:rsidRPr="00CA183D">
              <w:rPr>
                <w:rFonts w:asciiTheme="minorEastAsia" w:hAnsiTheme="minorEastAsia" w:cstheme="minorEastAsia" w:hint="eastAsia"/>
              </w:rPr>
              <w:t>3、付款方式：中标人交货完毕并验收合格后，一次性支付合同款。</w:t>
            </w:r>
          </w:p>
        </w:tc>
      </w:tr>
    </w:tbl>
    <w:p w:rsidR="0070288C" w:rsidRPr="009E33EC" w:rsidRDefault="0070288C"/>
    <w:sectPr w:rsidR="0070288C" w:rsidRPr="009E33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3EC"/>
    <w:rsid w:val="0070288C"/>
    <w:rsid w:val="009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9E33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正文文本 Char"/>
    <w:basedOn w:val="a0"/>
    <w:link w:val="a3"/>
    <w:uiPriority w:val="99"/>
    <w:semiHidden/>
    <w:rsid w:val="009E33EC"/>
    <w:rPr>
      <w:rFonts w:ascii="宋体" w:eastAsia="宋体" w:hAnsi="宋体" w:cs="宋体"/>
      <w:kern w:val="0"/>
      <w:sz w:val="24"/>
      <w:szCs w:val="24"/>
    </w:rPr>
  </w:style>
  <w:style w:type="paragraph" w:styleId="a4">
    <w:name w:val="Plain Text"/>
    <w:basedOn w:val="a"/>
    <w:link w:val="Char0"/>
    <w:unhideWhenUsed/>
    <w:qFormat/>
    <w:rsid w:val="009E33EC"/>
    <w:rPr>
      <w:rFonts w:ascii="宋体" w:eastAsia="宋体" w:hAnsi="Courier New" w:cs="Times New Roman"/>
      <w:szCs w:val="20"/>
    </w:rPr>
  </w:style>
  <w:style w:type="character" w:customStyle="1" w:styleId="Char0">
    <w:name w:val="纯文本 Char"/>
    <w:basedOn w:val="a0"/>
    <w:link w:val="a4"/>
    <w:qFormat/>
    <w:rsid w:val="009E33EC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9E33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正文文本 Char"/>
    <w:basedOn w:val="a0"/>
    <w:link w:val="a3"/>
    <w:uiPriority w:val="99"/>
    <w:semiHidden/>
    <w:rsid w:val="009E33EC"/>
    <w:rPr>
      <w:rFonts w:ascii="宋体" w:eastAsia="宋体" w:hAnsi="宋体" w:cs="宋体"/>
      <w:kern w:val="0"/>
      <w:sz w:val="24"/>
      <w:szCs w:val="24"/>
    </w:rPr>
  </w:style>
  <w:style w:type="paragraph" w:styleId="a4">
    <w:name w:val="Plain Text"/>
    <w:basedOn w:val="a"/>
    <w:link w:val="Char0"/>
    <w:unhideWhenUsed/>
    <w:qFormat/>
    <w:rsid w:val="009E33EC"/>
    <w:rPr>
      <w:rFonts w:ascii="宋体" w:eastAsia="宋体" w:hAnsi="Courier New" w:cs="Times New Roman"/>
      <w:szCs w:val="20"/>
    </w:rPr>
  </w:style>
  <w:style w:type="character" w:customStyle="1" w:styleId="Char0">
    <w:name w:val="纯文本 Char"/>
    <w:basedOn w:val="a0"/>
    <w:link w:val="a4"/>
    <w:qFormat/>
    <w:rsid w:val="009E33EC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894</Words>
  <Characters>5096</Characters>
  <Application>Microsoft Office Word</Application>
  <DocSecurity>0</DocSecurity>
  <Lines>42</Lines>
  <Paragraphs>11</Paragraphs>
  <ScaleCrop>false</ScaleCrop>
  <Company>dell</Company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2023-04-14T09:52:00Z</dcterms:created>
  <dcterms:modified xsi:type="dcterms:W3CDTF">2023-04-14T09:52:00Z</dcterms:modified>
</cp:coreProperties>
</file>