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pStyle w:val="4"/>
        <w:jc w:val="center"/>
        <w:rPr>
          <w:rFonts w:hint="eastAsia" w:eastAsiaTheme="minorEastAsia"/>
          <w:b/>
          <w:sz w:val="32"/>
          <w:lang w:eastAsia="zh-CN"/>
        </w:rPr>
      </w:pPr>
      <w:r>
        <w:rPr>
          <w:rFonts w:hint="eastAsia"/>
          <w:b/>
          <w:sz w:val="32"/>
        </w:rPr>
        <w:t>报价表</w:t>
      </w:r>
      <w:r>
        <w:rPr>
          <w:rFonts w:hint="eastAsia"/>
          <w:b/>
          <w:sz w:val="32"/>
          <w:lang w:eastAsia="zh-CN"/>
        </w:rPr>
        <w:t>（</w:t>
      </w:r>
      <w:r>
        <w:rPr>
          <w:rFonts w:hint="eastAsia"/>
          <w:b/>
          <w:sz w:val="32"/>
          <w:lang w:val="en-US" w:eastAsia="zh-CN"/>
        </w:rPr>
        <w:t>样表</w:t>
      </w:r>
      <w:r>
        <w:rPr>
          <w:rFonts w:hint="eastAsia"/>
          <w:b/>
          <w:sz w:val="32"/>
          <w:lang w:eastAsia="zh-CN"/>
        </w:rPr>
        <w:t>）</w:t>
      </w:r>
    </w:p>
    <w:p>
      <w:pPr>
        <w:ind w:firstLine="480" w:firstLineChars="200"/>
        <w:rPr>
          <w:rFonts w:ascii="仿宋" w:hAnsi="仿宋" w:eastAsia="仿宋"/>
          <w:sz w:val="24"/>
        </w:rPr>
      </w:pPr>
    </w:p>
    <w:p>
      <w:pPr>
        <w:adjustRightInd w:val="0"/>
        <w:spacing w:line="400" w:lineRule="exact"/>
        <w:ind w:firstLine="435"/>
        <w:rPr>
          <w:rFonts w:hint="eastAsia"/>
          <w:b/>
          <w:sz w:val="24"/>
          <w:u w:val="none"/>
        </w:rPr>
      </w:pPr>
      <w:r>
        <w:rPr>
          <w:rFonts w:hint="eastAsia"/>
          <w:b/>
          <w:sz w:val="24"/>
          <w:u w:val="none"/>
        </w:rPr>
        <w:t>我公司</w:t>
      </w:r>
      <w:r>
        <w:rPr>
          <w:b/>
          <w:sz w:val="24"/>
          <w:u w:val="none"/>
        </w:rPr>
        <w:t>已</w:t>
      </w:r>
      <w:r>
        <w:rPr>
          <w:rFonts w:hint="eastAsia"/>
          <w:b/>
          <w:sz w:val="24"/>
          <w:u w:val="none"/>
        </w:rPr>
        <w:t>认真</w:t>
      </w:r>
      <w:r>
        <w:rPr>
          <w:b/>
          <w:sz w:val="24"/>
          <w:u w:val="none"/>
        </w:rPr>
        <w:t>阅读了</w:t>
      </w:r>
      <w:r>
        <w:rPr>
          <w:rFonts w:hint="eastAsia"/>
          <w:b/>
          <w:sz w:val="24"/>
          <w:u w:val="none"/>
        </w:rPr>
        <w:t>南宁中心血站血小板抗体检测试剂盒及人类白细胞抗原特异性抗体检测试剂盒询价采购公告</w:t>
      </w:r>
      <w:r>
        <w:rPr>
          <w:b/>
          <w:sz w:val="24"/>
          <w:u w:val="none"/>
        </w:rPr>
        <w:t>，</w:t>
      </w:r>
      <w:r>
        <w:rPr>
          <w:rFonts w:hint="eastAsia"/>
          <w:b/>
          <w:sz w:val="24"/>
          <w:u w:val="none"/>
        </w:rPr>
        <w:t>我方完全理解并</w:t>
      </w:r>
      <w:r>
        <w:rPr>
          <w:b/>
          <w:sz w:val="24"/>
          <w:u w:val="none"/>
        </w:rPr>
        <w:t>接受</w:t>
      </w:r>
      <w:r>
        <w:rPr>
          <w:rFonts w:hint="eastAsia"/>
          <w:b/>
          <w:sz w:val="24"/>
          <w:u w:val="none"/>
        </w:rPr>
        <w:t>贵方本次采购内容和要求，</w:t>
      </w:r>
      <w:r>
        <w:rPr>
          <w:rFonts w:hint="eastAsia"/>
          <w:b/>
          <w:sz w:val="24"/>
          <w:u w:val="none"/>
          <w:lang w:eastAsia="zh-CN"/>
        </w:rPr>
        <w:t>在满足采购人商务条款的需求下，</w:t>
      </w:r>
      <w:r>
        <w:rPr>
          <w:rFonts w:hint="eastAsia"/>
          <w:b/>
          <w:sz w:val="24"/>
          <w:u w:val="none"/>
        </w:rPr>
        <w:t>参与</w:t>
      </w:r>
      <w:r>
        <w:rPr>
          <w:rFonts w:hint="eastAsia"/>
          <w:b/>
          <w:sz w:val="24"/>
          <w:u w:val="none"/>
          <w:lang w:val="en-US" w:eastAsia="zh-CN"/>
        </w:rPr>
        <w:t>该分标</w:t>
      </w:r>
      <w:r>
        <w:rPr>
          <w:b/>
          <w:sz w:val="24"/>
          <w:u w:val="none"/>
        </w:rPr>
        <w:t>报价</w:t>
      </w:r>
      <w:r>
        <w:rPr>
          <w:rFonts w:hint="eastAsia"/>
          <w:b/>
          <w:sz w:val="24"/>
          <w:u w:val="none"/>
        </w:rPr>
        <w:t>。</w:t>
      </w:r>
    </w:p>
    <w:p>
      <w:pPr>
        <w:pStyle w:val="2"/>
        <w:rPr>
          <w:rFonts w:hint="eastAsia"/>
          <w:b/>
          <w:sz w:val="24"/>
          <w:u w:val="none"/>
          <w:lang w:val="en-US" w:eastAsia="zh-CN"/>
        </w:rPr>
      </w:pPr>
    </w:p>
    <w:tbl>
      <w:tblPr>
        <w:tblStyle w:val="7"/>
        <w:tblW w:w="10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457"/>
        <w:gridCol w:w="735"/>
        <w:gridCol w:w="6030"/>
        <w:gridCol w:w="1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700" w:type="dxa"/>
            <w:noWrap w:val="0"/>
            <w:vAlign w:val="center"/>
          </w:tcPr>
          <w:p>
            <w:pPr>
              <w:jc w:val="center"/>
              <w:rPr>
                <w:rFonts w:hint="eastAsia"/>
                <w:b/>
                <w:bCs/>
                <w:szCs w:val="21"/>
              </w:rPr>
            </w:pPr>
            <w:r>
              <w:rPr>
                <w:rFonts w:hint="eastAsia"/>
                <w:b/>
                <w:bCs/>
                <w:szCs w:val="21"/>
              </w:rPr>
              <w:t>序号</w:t>
            </w:r>
          </w:p>
        </w:tc>
        <w:tc>
          <w:tcPr>
            <w:tcW w:w="1457" w:type="dxa"/>
            <w:noWrap w:val="0"/>
            <w:vAlign w:val="center"/>
          </w:tcPr>
          <w:p>
            <w:pPr>
              <w:jc w:val="center"/>
              <w:rPr>
                <w:rFonts w:hint="default" w:eastAsia="宋体"/>
                <w:b/>
                <w:bCs/>
                <w:szCs w:val="21"/>
                <w:lang w:val="en-US" w:eastAsia="zh-CN"/>
              </w:rPr>
            </w:pPr>
            <w:r>
              <w:rPr>
                <w:rFonts w:hint="eastAsia"/>
                <w:b/>
                <w:bCs/>
                <w:szCs w:val="21"/>
                <w:lang w:val="en-US" w:eastAsia="zh-CN"/>
              </w:rPr>
              <w:t>产品名称</w:t>
            </w:r>
          </w:p>
        </w:tc>
        <w:tc>
          <w:tcPr>
            <w:tcW w:w="735" w:type="dxa"/>
            <w:noWrap w:val="0"/>
            <w:vAlign w:val="center"/>
          </w:tcPr>
          <w:p>
            <w:pPr>
              <w:jc w:val="center"/>
              <w:rPr>
                <w:rFonts w:hint="default" w:eastAsia="宋体"/>
                <w:b/>
                <w:bCs/>
                <w:szCs w:val="21"/>
                <w:lang w:val="en-US" w:eastAsia="zh-CN"/>
              </w:rPr>
            </w:pPr>
            <w:r>
              <w:rPr>
                <w:rFonts w:hint="eastAsia" w:eastAsia="宋体"/>
                <w:b/>
                <w:bCs/>
                <w:szCs w:val="21"/>
                <w:lang w:val="en-US" w:eastAsia="zh-CN"/>
              </w:rPr>
              <w:t>计量单位</w:t>
            </w:r>
          </w:p>
        </w:tc>
        <w:tc>
          <w:tcPr>
            <w:tcW w:w="6030" w:type="dxa"/>
            <w:noWrap w:val="0"/>
            <w:vAlign w:val="center"/>
          </w:tcPr>
          <w:p>
            <w:pPr>
              <w:jc w:val="center"/>
              <w:rPr>
                <w:rFonts w:hint="default" w:eastAsia="宋体"/>
                <w:b/>
                <w:bCs/>
                <w:szCs w:val="21"/>
                <w:lang w:val="en-US" w:eastAsia="zh-CN"/>
              </w:rPr>
            </w:pPr>
            <w:r>
              <w:rPr>
                <w:rFonts w:hint="eastAsia"/>
                <w:b/>
                <w:bCs/>
                <w:szCs w:val="21"/>
                <w:lang w:val="en-US" w:eastAsia="zh-CN"/>
              </w:rPr>
              <w:t>技术参数</w:t>
            </w:r>
            <w:bookmarkStart w:id="0" w:name="_GoBack"/>
            <w:bookmarkEnd w:id="0"/>
          </w:p>
        </w:tc>
        <w:tc>
          <w:tcPr>
            <w:tcW w:w="1973" w:type="dxa"/>
            <w:noWrap w:val="0"/>
            <w:vAlign w:val="center"/>
          </w:tcPr>
          <w:p>
            <w:pPr>
              <w:jc w:val="center"/>
              <w:rPr>
                <w:rFonts w:hint="eastAsia" w:eastAsia="宋体"/>
                <w:b/>
                <w:bCs/>
                <w:szCs w:val="21"/>
                <w:lang w:val="en-US" w:eastAsia="zh-CN"/>
              </w:rPr>
            </w:pPr>
            <w:r>
              <w:rPr>
                <w:rFonts w:hint="eastAsia" w:eastAsia="宋体"/>
                <w:b/>
                <w:bCs/>
                <w:szCs w:val="21"/>
                <w:lang w:val="en-US" w:eastAsia="zh-CN"/>
              </w:rPr>
              <w:t>（报价以最小单位报价）/元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2" w:hRule="atLeast"/>
          <w:jc w:val="center"/>
        </w:trPr>
        <w:tc>
          <w:tcPr>
            <w:tcW w:w="700" w:type="dxa"/>
            <w:noWrap w:val="0"/>
            <w:vAlign w:val="center"/>
          </w:tcPr>
          <w:p>
            <w:pPr>
              <w:jc w:val="center"/>
              <w:rPr>
                <w:rFonts w:hint="eastAsia"/>
                <w:szCs w:val="21"/>
              </w:rPr>
            </w:pPr>
            <w:r>
              <w:rPr>
                <w:szCs w:val="21"/>
              </w:rPr>
              <w:t>1</w:t>
            </w:r>
          </w:p>
        </w:tc>
        <w:tc>
          <w:tcPr>
            <w:tcW w:w="1457" w:type="dxa"/>
            <w:noWrap w:val="0"/>
            <w:vAlign w:val="center"/>
          </w:tcPr>
          <w:p>
            <w:pPr>
              <w:jc w:val="left"/>
              <w:rPr>
                <w:rFonts w:hint="eastAsia"/>
                <w:szCs w:val="21"/>
              </w:rPr>
            </w:pPr>
            <w:r>
              <w:rPr>
                <w:rFonts w:hint="eastAsia"/>
                <w:szCs w:val="21"/>
              </w:rPr>
              <w:t>血小板抗体检测试剂盒（PAKPLUS）</w:t>
            </w:r>
          </w:p>
        </w:tc>
        <w:tc>
          <w:tcPr>
            <w:tcW w:w="735" w:type="dxa"/>
            <w:noWrap w:val="0"/>
            <w:vAlign w:val="center"/>
          </w:tcPr>
          <w:p>
            <w:pPr>
              <w:jc w:val="center"/>
              <w:rPr>
                <w:rFonts w:hint="eastAsia"/>
                <w:szCs w:val="21"/>
              </w:rPr>
            </w:pPr>
            <w:r>
              <w:rPr>
                <w:rFonts w:hint="eastAsia"/>
                <w:szCs w:val="21"/>
              </w:rPr>
              <w:t>盒</w:t>
            </w:r>
          </w:p>
        </w:tc>
        <w:tc>
          <w:tcPr>
            <w:tcW w:w="6030" w:type="dxa"/>
            <w:noWrap w:val="0"/>
            <w:vAlign w:val="center"/>
          </w:tcPr>
          <w:p>
            <w:pPr>
              <w:jc w:val="left"/>
              <w:rPr>
                <w:rFonts w:eastAsia="宋体"/>
                <w:szCs w:val="21"/>
              </w:rPr>
            </w:pPr>
            <w:r>
              <w:rPr>
                <w:rFonts w:eastAsia="宋体"/>
                <w:szCs w:val="21"/>
              </w:rPr>
              <w:t>1.试剂盒基于酶联免疫法，在酶标板上包被多种血小板糖蛋白链与纯化的人源HLA抗原结构。检出抗体包含：IgG, IgM, IgA。</w:t>
            </w:r>
          </w:p>
          <w:p>
            <w:pPr>
              <w:ind w:left="210" w:hanging="210" w:hangingChars="100"/>
              <w:jc w:val="left"/>
              <w:rPr>
                <w:rFonts w:eastAsia="宋体"/>
                <w:szCs w:val="21"/>
              </w:rPr>
            </w:pPr>
            <w:r>
              <w:rPr>
                <w:rFonts w:eastAsia="宋体"/>
                <w:szCs w:val="21"/>
              </w:rPr>
              <w:t>2.可检出血小板相关抗体特异性，包含：</w:t>
            </w:r>
            <w:r>
              <w:rPr>
                <w:rFonts w:hint="eastAsia" w:eastAsia="宋体"/>
                <w:szCs w:val="21"/>
              </w:rPr>
              <w:t>GPII</w:t>
            </w:r>
            <w:r>
              <w:rPr>
                <w:rFonts w:eastAsia="宋体"/>
                <w:szCs w:val="21"/>
              </w:rPr>
              <w:t>b</w:t>
            </w:r>
            <w:r>
              <w:rPr>
                <w:rFonts w:hint="eastAsia" w:eastAsia="宋体"/>
                <w:szCs w:val="21"/>
              </w:rPr>
              <w:t>/</w:t>
            </w:r>
            <w:r>
              <w:rPr>
                <w:rFonts w:eastAsia="宋体"/>
                <w:szCs w:val="21"/>
              </w:rPr>
              <w:t>llla抗体</w:t>
            </w:r>
            <w:r>
              <w:rPr>
                <w:rFonts w:hint="eastAsia" w:eastAsia="宋体"/>
                <w:szCs w:val="21"/>
              </w:rPr>
              <w:t>，GPIa/IIa</w:t>
            </w:r>
            <w:r>
              <w:rPr>
                <w:rFonts w:eastAsia="宋体"/>
                <w:szCs w:val="21"/>
              </w:rPr>
              <w:t>抗体，</w:t>
            </w:r>
            <w:r>
              <w:rPr>
                <w:rFonts w:hint="eastAsia" w:eastAsia="宋体"/>
                <w:szCs w:val="21"/>
              </w:rPr>
              <w:t>GPIb/IX抗体</w:t>
            </w:r>
            <w:r>
              <w:rPr>
                <w:rFonts w:eastAsia="宋体"/>
                <w:szCs w:val="21"/>
              </w:rPr>
              <w:t>，GPIV抗体，HLA抗体。</w:t>
            </w:r>
          </w:p>
          <w:p>
            <w:pPr>
              <w:jc w:val="left"/>
              <w:rPr>
                <w:rFonts w:eastAsia="宋体"/>
                <w:szCs w:val="21"/>
              </w:rPr>
            </w:pPr>
            <w:r>
              <w:rPr>
                <w:rFonts w:eastAsia="宋体"/>
                <w:szCs w:val="21"/>
              </w:rPr>
              <w:t>3.特异性抗体检出后可进行特定抗原相容性输血作为治疗与诊断手段，适用疾病包含：</w:t>
            </w:r>
            <w:r>
              <w:rPr>
                <w:rFonts w:hint="eastAsia" w:eastAsia="宋体"/>
                <w:szCs w:val="21"/>
              </w:rPr>
              <w:t>免疫性血小板减少症、血小板输注无效、新生儿同种免疫血小板减少症等</w:t>
            </w:r>
            <w:r>
              <w:rPr>
                <w:rFonts w:eastAsia="宋体"/>
                <w:szCs w:val="21"/>
              </w:rPr>
              <w:t>。</w:t>
            </w:r>
          </w:p>
          <w:p>
            <w:pPr>
              <w:jc w:val="left"/>
              <w:rPr>
                <w:rFonts w:eastAsia="宋体"/>
                <w:szCs w:val="21"/>
              </w:rPr>
            </w:pPr>
            <w:r>
              <w:rPr>
                <w:rFonts w:eastAsia="宋体"/>
                <w:szCs w:val="21"/>
              </w:rPr>
              <w:t>4.包被的血小板抗原是经过特殊工艺纯化获得，能有效检出相应的特异性血小板抗体。</w:t>
            </w:r>
          </w:p>
          <w:p>
            <w:pPr>
              <w:jc w:val="left"/>
              <w:rPr>
                <w:rFonts w:eastAsia="宋体"/>
                <w:szCs w:val="21"/>
              </w:rPr>
            </w:pPr>
            <w:r>
              <w:rPr>
                <w:rFonts w:eastAsia="宋体"/>
                <w:szCs w:val="21"/>
              </w:rPr>
              <w:t>5.试剂盒包装规格：6 test/kit。</w:t>
            </w:r>
          </w:p>
          <w:p>
            <w:pPr>
              <w:jc w:val="left"/>
              <w:rPr>
                <w:rFonts w:hint="default" w:eastAsia="宋体" w:asciiTheme="minorHAnsi" w:hAnsiTheme="minorHAnsi" w:cstheme="minorBidi"/>
                <w:kern w:val="2"/>
                <w:sz w:val="21"/>
                <w:szCs w:val="21"/>
                <w:lang w:val="en-US" w:eastAsia="zh-CN" w:bidi="ar-SA"/>
              </w:rPr>
            </w:pPr>
            <w:r>
              <w:rPr>
                <w:rFonts w:hint="eastAsia" w:eastAsia="宋体"/>
                <w:szCs w:val="21"/>
              </w:rPr>
              <w:t>6</w:t>
            </w:r>
            <w:r>
              <w:rPr>
                <w:rFonts w:eastAsia="宋体"/>
                <w:szCs w:val="21"/>
              </w:rPr>
              <w:t>.存储条件：2-8℃保存。</w:t>
            </w:r>
          </w:p>
        </w:tc>
        <w:tc>
          <w:tcPr>
            <w:tcW w:w="1973" w:type="dxa"/>
            <w:noWrap w:val="0"/>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00" w:type="dxa"/>
            <w:noWrap w:val="0"/>
            <w:vAlign w:val="center"/>
          </w:tcPr>
          <w:p>
            <w:pPr>
              <w:jc w:val="center"/>
              <w:rPr>
                <w:szCs w:val="21"/>
              </w:rPr>
            </w:pPr>
            <w:r>
              <w:rPr>
                <w:rFonts w:hint="eastAsia"/>
                <w:szCs w:val="21"/>
              </w:rPr>
              <w:t>2</w:t>
            </w:r>
          </w:p>
        </w:tc>
        <w:tc>
          <w:tcPr>
            <w:tcW w:w="1457" w:type="dxa"/>
            <w:noWrap w:val="0"/>
            <w:vAlign w:val="center"/>
          </w:tcPr>
          <w:p>
            <w:pPr>
              <w:jc w:val="left"/>
              <w:rPr>
                <w:rFonts w:hint="eastAsia" w:ascii="Arial" w:hAnsi="Arial" w:cs="Arial"/>
                <w:color w:val="000000"/>
                <w:szCs w:val="21"/>
                <w:lang w:val="en-US" w:eastAsia="zh-CN"/>
              </w:rPr>
            </w:pPr>
            <w:r>
              <w:rPr>
                <w:rFonts w:hint="eastAsia"/>
                <w:szCs w:val="21"/>
              </w:rPr>
              <w:t>人类白细胞抗原特异性抗体检测试剂盒</w:t>
            </w:r>
          </w:p>
        </w:tc>
        <w:tc>
          <w:tcPr>
            <w:tcW w:w="735" w:type="dxa"/>
            <w:noWrap w:val="0"/>
            <w:vAlign w:val="center"/>
          </w:tcPr>
          <w:p>
            <w:pPr>
              <w:jc w:val="center"/>
              <w:rPr>
                <w:rFonts w:hint="eastAsia"/>
                <w:szCs w:val="21"/>
                <w:lang w:val="en-US" w:eastAsia="zh-CN"/>
              </w:rPr>
            </w:pPr>
            <w:r>
              <w:rPr>
                <w:rFonts w:hint="eastAsia"/>
                <w:szCs w:val="21"/>
              </w:rPr>
              <w:t>盒</w:t>
            </w:r>
          </w:p>
        </w:tc>
        <w:tc>
          <w:tcPr>
            <w:tcW w:w="6030" w:type="dxa"/>
            <w:noWrap w:val="0"/>
            <w:vAlign w:val="center"/>
          </w:tcPr>
          <w:p>
            <w:pPr>
              <w:jc w:val="left"/>
              <w:rPr>
                <w:rFonts w:eastAsia="宋体"/>
                <w:szCs w:val="21"/>
              </w:rPr>
            </w:pPr>
            <w:r>
              <w:rPr>
                <w:rFonts w:hint="eastAsia" w:eastAsia="宋体"/>
                <w:szCs w:val="21"/>
              </w:rPr>
              <w:t>1.试剂已获得中国国家食品药品监督管理局(CFDA)颁发的医疗器械注册证。</w:t>
            </w:r>
          </w:p>
          <w:p>
            <w:pPr>
              <w:jc w:val="left"/>
              <w:rPr>
                <w:rFonts w:eastAsia="宋体"/>
                <w:szCs w:val="21"/>
              </w:rPr>
            </w:pPr>
            <w:r>
              <w:rPr>
                <w:rFonts w:hint="eastAsia" w:eastAsia="宋体"/>
                <w:szCs w:val="21"/>
              </w:rPr>
              <w:t>2.采用真空抽滤方案，避免离心甩板造成的孔间污染或人为污染，检测时长需要控制在1.5小时以内。</w:t>
            </w:r>
          </w:p>
          <w:p>
            <w:pPr>
              <w:jc w:val="left"/>
              <w:rPr>
                <w:rFonts w:eastAsia="宋体"/>
                <w:szCs w:val="21"/>
              </w:rPr>
            </w:pPr>
            <w:r>
              <w:rPr>
                <w:rFonts w:hint="eastAsia" w:eastAsia="宋体"/>
                <w:szCs w:val="21"/>
              </w:rPr>
              <w:t>3.根据交叉反应组原理，包被有HLA-I类抗原共7种微球, （A1/A19 CREG ；A2 CREG ；B5 CREG ；B7 CREG ；B8 CREG ；B12 CREG ）。HLA-II类抗原5种微球。能覆盖绝大部分HLA抗原组合；（DR51 关联的特异性；DR52 关联的特异性；DR53关联的特异性；DQ关联的特异性）。</w:t>
            </w:r>
          </w:p>
          <w:p>
            <w:pPr>
              <w:jc w:val="left"/>
              <w:rPr>
                <w:rFonts w:eastAsia="宋体"/>
                <w:szCs w:val="21"/>
              </w:rPr>
            </w:pPr>
            <w:r>
              <w:rPr>
                <w:rFonts w:hint="eastAsia" w:eastAsia="宋体"/>
                <w:szCs w:val="21"/>
              </w:rPr>
              <w:t>4.一个反应孔可同时检测出HLA抗体I类和II类的阴阳性 。</w:t>
            </w:r>
          </w:p>
          <w:p>
            <w:pPr>
              <w:jc w:val="left"/>
              <w:rPr>
                <w:rFonts w:eastAsia="宋体"/>
                <w:szCs w:val="21"/>
              </w:rPr>
            </w:pPr>
            <w:r>
              <w:rPr>
                <w:rFonts w:hint="eastAsia" w:eastAsia="宋体"/>
                <w:szCs w:val="21"/>
              </w:rPr>
              <w:t>5.所有反应采用相同的实验条件，确保实验重复性和操作性。</w:t>
            </w:r>
          </w:p>
          <w:p>
            <w:pPr>
              <w:jc w:val="left"/>
              <w:rPr>
                <w:rFonts w:eastAsia="宋体"/>
                <w:szCs w:val="21"/>
              </w:rPr>
            </w:pPr>
            <w:r>
              <w:rPr>
                <w:rFonts w:hint="eastAsia" w:eastAsia="宋体"/>
                <w:szCs w:val="21"/>
              </w:rPr>
              <w:t>6.微珠所包被的抗原与人源化的抗原相似，假阳性反应很少，提高实验准确性。</w:t>
            </w:r>
          </w:p>
          <w:p>
            <w:pPr>
              <w:jc w:val="left"/>
              <w:rPr>
                <w:rFonts w:eastAsia="宋体"/>
                <w:szCs w:val="21"/>
              </w:rPr>
            </w:pPr>
            <w:r>
              <w:rPr>
                <w:rFonts w:hint="eastAsia" w:eastAsia="宋体"/>
                <w:szCs w:val="21"/>
              </w:rPr>
              <w:t>7.试剂中不仅包含待测微球还含有3个阴性质控微球和1个阳性质控微球，根据阴性质控比值综合判读阴阳结果。</w:t>
            </w:r>
          </w:p>
          <w:p>
            <w:pPr>
              <w:jc w:val="left"/>
              <w:rPr>
                <w:rFonts w:eastAsia="宋体"/>
                <w:szCs w:val="21"/>
              </w:rPr>
            </w:pPr>
            <w:r>
              <w:rPr>
                <w:rFonts w:hint="eastAsia" w:eastAsia="宋体"/>
                <w:szCs w:val="21"/>
              </w:rPr>
              <w:t>8.试剂配有阳性对照血清和阴性对照血清，每批次实验需要分别做一个阳性对照孔和阴性对照孔，监控整批实验是否正常进行。</w:t>
            </w:r>
          </w:p>
          <w:p>
            <w:pPr>
              <w:jc w:val="left"/>
              <w:rPr>
                <w:rFonts w:eastAsia="宋体"/>
                <w:szCs w:val="21"/>
              </w:rPr>
            </w:pPr>
            <w:r>
              <w:rPr>
                <w:rFonts w:hint="eastAsia" w:eastAsia="宋体"/>
                <w:szCs w:val="21"/>
              </w:rPr>
              <w:t>9.数据分析：提供专业专用分析软件MatchIT Antibody进行HLA抗体实验结果分析。</w:t>
            </w:r>
          </w:p>
          <w:p>
            <w:pPr>
              <w:jc w:val="left"/>
              <w:rPr>
                <w:rFonts w:eastAsia="宋体"/>
                <w:szCs w:val="21"/>
              </w:rPr>
            </w:pPr>
            <w:r>
              <w:rPr>
                <w:rFonts w:hint="eastAsia" w:eastAsia="宋体"/>
                <w:szCs w:val="21"/>
              </w:rPr>
              <w:t>9.1分析软件根据标本微球MFI与阴性内控微球的比值和背景调整因子（BAF）综合分析，更明确减少实验假阴假阳影响，更加符合实验实际情况。</w:t>
            </w:r>
          </w:p>
          <w:p>
            <w:pPr>
              <w:jc w:val="left"/>
              <w:rPr>
                <w:rFonts w:eastAsia="宋体"/>
                <w:szCs w:val="21"/>
              </w:rPr>
            </w:pPr>
            <w:r>
              <w:rPr>
                <w:rFonts w:hint="eastAsia" w:eastAsia="宋体"/>
                <w:szCs w:val="21"/>
              </w:rPr>
              <w:t>9.2可分配不同权限者： 根据实验室不同角色，分配管理员、技术员等权限。</w:t>
            </w:r>
          </w:p>
          <w:p>
            <w:pPr>
              <w:jc w:val="left"/>
              <w:rPr>
                <w:rFonts w:eastAsia="宋体"/>
                <w:szCs w:val="21"/>
              </w:rPr>
            </w:pPr>
            <w:r>
              <w:rPr>
                <w:rFonts w:hint="eastAsia" w:eastAsia="宋体"/>
                <w:szCs w:val="21"/>
              </w:rPr>
              <w:t>9.3数据分析自动化：Import CSV数据自动导入，自动分析结果，人工辅助确认结果。</w:t>
            </w:r>
          </w:p>
          <w:p>
            <w:pPr>
              <w:jc w:val="left"/>
              <w:rPr>
                <w:rFonts w:eastAsia="宋体"/>
                <w:szCs w:val="21"/>
              </w:rPr>
            </w:pPr>
            <w:r>
              <w:rPr>
                <w:rFonts w:hint="eastAsia" w:eastAsia="宋体"/>
                <w:szCs w:val="21"/>
              </w:rPr>
              <w:t>9.4 软件提供两种自动分析结果方法：Score计分和MFI Cutoff，根据不同实验结果可选择合适的分析方法。</w:t>
            </w:r>
          </w:p>
          <w:p>
            <w:pPr>
              <w:jc w:val="left"/>
              <w:rPr>
                <w:rFonts w:eastAsia="宋体"/>
                <w:szCs w:val="21"/>
              </w:rPr>
            </w:pPr>
            <w:r>
              <w:rPr>
                <w:rFonts w:hint="eastAsia" w:eastAsia="宋体"/>
                <w:szCs w:val="21"/>
              </w:rPr>
              <w:t>9.5 软件VBAF功能可根据阴性内控微球（CON1CON2CON3）的阴性背景，调整合适的Score计分方法，降低非特异性影响，使结果判断更加严谨准确。</w:t>
            </w:r>
          </w:p>
          <w:p>
            <w:pPr>
              <w:jc w:val="left"/>
              <w:rPr>
                <w:rFonts w:eastAsia="宋体"/>
                <w:szCs w:val="21"/>
              </w:rPr>
            </w:pPr>
            <w:r>
              <w:rPr>
                <w:rFonts w:hint="eastAsia" w:eastAsia="宋体"/>
                <w:szCs w:val="21"/>
              </w:rPr>
              <w:t>9.6 软件提供不同权限者的审核（Complete）和批准(Approve)功能，可视化结果审核的不同阶段。</w:t>
            </w:r>
          </w:p>
          <w:p>
            <w:pPr>
              <w:jc w:val="left"/>
              <w:rPr>
                <w:rFonts w:hint="default" w:eastAsia="宋体"/>
                <w:szCs w:val="21"/>
                <w:lang w:val="en-US" w:eastAsia="zh-CN"/>
              </w:rPr>
            </w:pPr>
            <w:r>
              <w:rPr>
                <w:rFonts w:hint="eastAsia" w:eastAsia="宋体"/>
                <w:szCs w:val="21"/>
              </w:rPr>
              <w:t>9.7提供最新1.31版本软件，可向下兼容旧版本软件，免费提供软件技术培训以及后续软件更新升级等服务。</w:t>
            </w:r>
          </w:p>
        </w:tc>
        <w:tc>
          <w:tcPr>
            <w:tcW w:w="1973" w:type="dxa"/>
            <w:noWrap w:val="0"/>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exact"/>
          <w:jc w:val="center"/>
        </w:trPr>
        <w:tc>
          <w:tcPr>
            <w:tcW w:w="10895" w:type="dxa"/>
            <w:gridSpan w:val="5"/>
            <w:noWrap w:val="0"/>
            <w:vAlign w:val="center"/>
          </w:tcPr>
          <w:p>
            <w:pPr>
              <w:jc w:val="right"/>
              <w:rPr>
                <w:rFonts w:hint="eastAsia"/>
                <w:szCs w:val="21"/>
              </w:rPr>
            </w:pPr>
            <w:r>
              <w:rPr>
                <w:rFonts w:hint="eastAsia" w:asciiTheme="minorEastAsia" w:hAnsiTheme="minorEastAsia" w:eastAsiaTheme="minorEastAsia" w:cstheme="minorEastAsia"/>
                <w:sz w:val="24"/>
                <w:szCs w:val="24"/>
              </w:rPr>
              <w:t>报价合计（包含税费等所有费用）：（大写）人民币</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w:t>
            </w:r>
          </w:p>
        </w:tc>
      </w:tr>
    </w:tbl>
    <w:p>
      <w:pPr>
        <w:adjustRightInd w:val="0"/>
        <w:spacing w:line="400" w:lineRule="exact"/>
        <w:ind w:firstLine="435"/>
        <w:rPr>
          <w:rFonts w:hint="eastAsia"/>
          <w:b/>
          <w:sz w:val="24"/>
          <w:u w:val="none"/>
        </w:rPr>
      </w:pPr>
    </w:p>
    <w:p>
      <w:pPr>
        <w:pStyle w:val="4"/>
        <w:rPr>
          <w:rFonts w:asciiTheme="minorEastAsia" w:hAnsiTheme="minorEastAsia" w:eastAsiaTheme="minorEastAsia" w:cstheme="minorEastAsia"/>
          <w:szCs w:val="21"/>
        </w:rPr>
      </w:pPr>
    </w:p>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eastAsia="zh-CN"/>
        </w:rPr>
        <w:t>报价人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600" w:lineRule="exact"/>
        <w:rPr>
          <w:rFonts w:asciiTheme="minorEastAsia" w:hAnsiTheme="minorEastAsia" w:eastAsiaTheme="minorEastAsia" w:cstheme="minorEastAsia"/>
          <w:szCs w:val="21"/>
          <w:u w:val="single"/>
        </w:rPr>
      </w:pP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42B7464"/>
    <w:rsid w:val="08D355B6"/>
    <w:rsid w:val="092E4C3A"/>
    <w:rsid w:val="09BC655A"/>
    <w:rsid w:val="0B117611"/>
    <w:rsid w:val="16C14DE5"/>
    <w:rsid w:val="1EB05554"/>
    <w:rsid w:val="20796931"/>
    <w:rsid w:val="23277B0A"/>
    <w:rsid w:val="23D56E45"/>
    <w:rsid w:val="27FC7252"/>
    <w:rsid w:val="2A9328B0"/>
    <w:rsid w:val="30121C45"/>
    <w:rsid w:val="322E750A"/>
    <w:rsid w:val="328D0C8A"/>
    <w:rsid w:val="355B2043"/>
    <w:rsid w:val="355C6437"/>
    <w:rsid w:val="38952220"/>
    <w:rsid w:val="3F172AC0"/>
    <w:rsid w:val="3F202983"/>
    <w:rsid w:val="43A55320"/>
    <w:rsid w:val="46426F1A"/>
    <w:rsid w:val="51B9203A"/>
    <w:rsid w:val="56BE3354"/>
    <w:rsid w:val="57B51F88"/>
    <w:rsid w:val="5E683AA8"/>
    <w:rsid w:val="609E68E4"/>
    <w:rsid w:val="652C7B0C"/>
    <w:rsid w:val="66152BBB"/>
    <w:rsid w:val="69595A0C"/>
    <w:rsid w:val="6EEB2FFA"/>
    <w:rsid w:val="7AE246CE"/>
    <w:rsid w:val="7B292B0C"/>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1192</Words>
  <Characters>1406</Characters>
  <Lines>0</Lines>
  <Paragraphs>0</Paragraphs>
  <TotalTime>2</TotalTime>
  <ScaleCrop>false</ScaleCrop>
  <LinksUpToDate>false</LinksUpToDate>
  <CharactersWithSpaces>1500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cp:lastPrinted>2022-10-14T09:11:00Z</cp:lastPrinted>
  <dcterms:modified xsi:type="dcterms:W3CDTF">2023-06-05T07:36:25Z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974D8D2A8ED7470FA8DDFDDBB1124E61</vt:lpwstr>
  </property>
</Properties>
</file>