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</w:p>
    <w:tbl>
      <w:tblPr>
        <w:tblStyle w:val="4"/>
        <w:tblpPr w:leftFromText="180" w:rightFromText="180" w:vertAnchor="text" w:horzAnchor="page" w:tblpX="674" w:tblpY="173"/>
        <w:tblOverlap w:val="never"/>
        <w:tblW w:w="99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  <w:bookmarkStart w:id="4" w:name="_GoBack"/>
            <w:bookmarkEnd w:id="4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南宁市血液安全管理信息系统（一期）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南宁市血液安全管理信息系统一期项目拟建</w:t>
            </w:r>
            <w:bookmarkStart w:id="0" w:name="_Hlk108189165"/>
            <w:bookmarkStart w:id="1" w:name="_Hlk129789779"/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设高危和不适宜献血人群屏蔽平台、用血监管数据平台2个子平台</w:t>
            </w:r>
            <w:bookmarkEnd w:id="0"/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  <w:bookmarkEnd w:id="1"/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bookmarkStart w:id="2" w:name="_Hlk98942391"/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一是建设南宁市</w:t>
            </w:r>
            <w:bookmarkStart w:id="3" w:name="_Hlk108185492"/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高危和不适宜献血人群屏蔽平台</w:t>
            </w:r>
            <w:bookmarkEnd w:id="3"/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，畅通公安、卫健、医院等部门数据，建立献血者筛查和屏蔽机制，将具有高危行为的人群和患有相关疾病，不适宜献血的人群纳入献血者联网屏蔽管理，从源头阻止高危人群献血，保障血液安全。实现无偿献血自动化屏蔽，帮助中心血站快速筛选不适合或暂不适宜献血的人群，最大程度的提高血站工作效率，保证血液质量。</w:t>
            </w:r>
            <w:bookmarkEnd w:id="2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二是建设南宁市用血监管数据平台，对南宁市血液安全管理信息系统所涉及的各项数据进行采集、计算、加工，形成并存储标准数据，统一输出口径，构建大数据资产层，让数据在平台和业务系统之间形成良性闭环，进而为各个业务模块提供高效、多样化的服务。更好赋能业务系统，加强医疗机构临床用血管理，促进临床合理用血管理水平，保护血液资源，提高血液信息化综合保障能力，形成从“献血者血管到用血者血管”的闭环血液管理，为血液质量和临床用血安全提供支持和保障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45F21CFE"/>
    <w:rsid w:val="45F2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2023-06-27T07:04:00Z</dcterms:created>
  <dc:creator>WPS</dc:creator>
  <cp:lastModifiedBy>WPS</cp:lastModifiedBy>
  <dcterms:modified xsi:type="dcterms:W3CDTF">2023-06-27T07:04:27Z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8922B87AF0544DB187743E934838B546_11</vt:lpwstr>
  </property>
</Properties>
</file>