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rFonts w:hint="eastAsia"/>
          <w:b/>
          <w:sz w:val="32"/>
        </w:rPr>
      </w:pPr>
      <w:r>
        <w:rPr>
          <w:rFonts w:hint="eastAsia"/>
          <w:b/>
          <w:sz w:val="32"/>
        </w:rPr>
        <w:t>采购需求一览表</w:t>
      </w:r>
    </w:p>
    <w:p>
      <w:pPr>
        <w:pStyle w:val="2"/>
        <w:numPr>
          <w:ilvl w:val="3"/>
          <w:numId w:val="0"/>
        </w:numPr>
      </w:pPr>
      <w:r>
        <w:rPr>
          <w:rFonts w:hint="eastAsia"/>
        </w:rPr>
        <w:t>标注★号的部分为实质性要求和条件。</w:t>
      </w:r>
    </w:p>
    <w:tbl>
      <w:tblPr>
        <w:tblStyle w:val="7"/>
        <w:tblpPr w:leftFromText="180" w:rightFromText="180" w:vertAnchor="text" w:horzAnchor="page" w:tblpX="572" w:tblpY="915"/>
        <w:tblOverlap w:val="never"/>
        <w:tblW w:w="1077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不间断电源维护和保修服务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szCs w:val="21"/>
                <w:lang w:val="en-US" w:eastAsia="zh-CN"/>
              </w:rPr>
            </w:pPr>
            <w:r>
              <w:rPr>
                <w:rFonts w:hint="eastAsia" w:asciiTheme="minorEastAsia" w:hAnsiTheme="minorEastAsia"/>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Chars="0"/>
              <w:rPr>
                <w:rFonts w:hint="eastAsia" w:ascii="宋体"/>
                <w:szCs w:val="21"/>
              </w:rPr>
            </w:pPr>
            <w:r>
              <w:rPr>
                <w:rFonts w:hint="eastAsia" w:ascii="宋体"/>
                <w:szCs w:val="21"/>
              </w:rPr>
              <w:t>1、设备用途情况：为确保南宁中心血站UPS电源的稳定运行，提供专业的、成熟的本地化维护保障、技术支持及故障处理服务，保障各分布地点（朝阳献血屋、医科大捐血屋、业务楼及业务副楼）电源系统的实时有效运行。</w:t>
            </w:r>
          </w:p>
          <w:p>
            <w:pPr>
              <w:numPr>
                <w:ilvl w:val="0"/>
                <w:numId w:val="0"/>
              </w:numPr>
              <w:ind w:leftChars="0"/>
              <w:rPr>
                <w:rFonts w:hint="eastAsia" w:ascii="宋体"/>
                <w:szCs w:val="21"/>
              </w:rPr>
            </w:pPr>
            <w:r>
              <w:rPr>
                <w:rFonts w:hint="eastAsia" w:ascii="宋体"/>
                <w:szCs w:val="21"/>
              </w:rPr>
              <w:t>★2、设备内容： 3台10KVA（型号：UHA1R-0100L）、1台10KVA（型号：GXL10K00TLA102C00）、1台20KVA（型号：ITA-20K00AL3A02C00）、1台30KVA（型号：ITA-30K00AL3302C00）、1台40KVA（型号：UHA3R-0400）、1台150KVA模块化（型号：APM150S及两个30KVA模块）关键主设备8台，以及一批10KVA以下小容量21台保修。设备故障（不含电池）如无法修复须提供同品牌同型号或同容量的新机替代主机且无条件更换，提供一年四次巡检服务（具体见维保服务内容）。</w:t>
            </w:r>
          </w:p>
          <w:p>
            <w:pPr>
              <w:numPr>
                <w:ilvl w:val="0"/>
                <w:numId w:val="0"/>
              </w:numPr>
              <w:ind w:leftChars="0"/>
              <w:rPr>
                <w:rFonts w:hint="eastAsia" w:ascii="宋体"/>
                <w:szCs w:val="21"/>
              </w:rPr>
            </w:pPr>
            <w:r>
              <w:rPr>
                <w:rFonts w:hint="eastAsia" w:ascii="宋体"/>
                <w:szCs w:val="21"/>
              </w:rPr>
              <w:t>3、维保服务内容：</w:t>
            </w:r>
          </w:p>
          <w:p>
            <w:pPr>
              <w:numPr>
                <w:ilvl w:val="0"/>
                <w:numId w:val="0"/>
              </w:numPr>
              <w:ind w:leftChars="0"/>
              <w:rPr>
                <w:rFonts w:hint="eastAsia" w:ascii="宋体"/>
                <w:szCs w:val="21"/>
              </w:rPr>
            </w:pPr>
            <w:r>
              <w:rPr>
                <w:rFonts w:hint="eastAsia" w:ascii="宋体"/>
                <w:szCs w:val="21"/>
              </w:rPr>
              <w:t>(1)每季度对大功率UPS、蓄电池组及电源输出柜进行一次联动功能测试，保证整体系统的正常切换。</w:t>
            </w:r>
          </w:p>
          <w:p>
            <w:pPr>
              <w:numPr>
                <w:ilvl w:val="0"/>
                <w:numId w:val="0"/>
              </w:numPr>
              <w:ind w:leftChars="0"/>
              <w:rPr>
                <w:rFonts w:hint="eastAsia" w:ascii="宋体"/>
                <w:szCs w:val="21"/>
              </w:rPr>
            </w:pPr>
            <w:r>
              <w:rPr>
                <w:rFonts w:hint="eastAsia" w:ascii="宋体"/>
                <w:szCs w:val="21"/>
              </w:rPr>
              <w:t>(2)每季度对大功率UPS设备进行功能测试，通过专业技术测试各供电模块、配件的数据，若设备出现损坏或指标不达标时，在当天通过电话/邮件等方式反馈甲方；</w:t>
            </w:r>
          </w:p>
          <w:p>
            <w:pPr>
              <w:numPr>
                <w:ilvl w:val="0"/>
                <w:numId w:val="0"/>
              </w:numPr>
              <w:ind w:leftChars="0"/>
              <w:rPr>
                <w:rFonts w:hint="eastAsia" w:ascii="宋体"/>
                <w:szCs w:val="21"/>
              </w:rPr>
            </w:pPr>
            <w:r>
              <w:rPr>
                <w:rFonts w:hint="eastAsia" w:ascii="宋体"/>
                <w:szCs w:val="21"/>
              </w:rPr>
              <w:t>(3)每季度对蓄电池组进行至少一次带载充放电功能测试，在巡检中如发现损坏及时通知甲方暂停使用或者告知甲方需重新采购新电池。</w:t>
            </w:r>
          </w:p>
          <w:p>
            <w:pPr>
              <w:numPr>
                <w:ilvl w:val="0"/>
                <w:numId w:val="0"/>
              </w:numPr>
              <w:ind w:leftChars="0"/>
              <w:rPr>
                <w:rFonts w:hint="eastAsia" w:ascii="宋体"/>
                <w:szCs w:val="21"/>
              </w:rPr>
            </w:pPr>
            <w:r>
              <w:rPr>
                <w:rFonts w:hint="eastAsia" w:ascii="宋体"/>
                <w:szCs w:val="21"/>
              </w:rPr>
              <w:t>(4)以上项目完成作业后，乙方按季度出具维保服务巡检报告和甲方提供的《UPS维护保养记录表》，甲方确认无误后双方签字确认。</w:t>
            </w:r>
          </w:p>
          <w:p>
            <w:pPr>
              <w:numPr>
                <w:ilvl w:val="0"/>
                <w:numId w:val="0"/>
              </w:numPr>
              <w:ind w:leftChars="0"/>
              <w:rPr>
                <w:rFonts w:hint="eastAsia" w:ascii="宋体"/>
                <w:szCs w:val="21"/>
              </w:rPr>
            </w:pPr>
            <w:r>
              <w:rPr>
                <w:rFonts w:hint="eastAsia" w:ascii="宋体"/>
                <w:szCs w:val="21"/>
              </w:rPr>
              <w:t>(5)每年根据甲方要求出具一份对所有维保UPS的总体评估报告，包含设备主机和电池的现状，及给甲方的具体建议等。</w:t>
            </w:r>
          </w:p>
          <w:p>
            <w:pPr>
              <w:numPr>
                <w:ilvl w:val="0"/>
                <w:numId w:val="0"/>
              </w:numPr>
              <w:ind w:leftChars="0"/>
              <w:rPr>
                <w:rFonts w:hint="eastAsia" w:ascii="宋体"/>
                <w:szCs w:val="21"/>
              </w:rPr>
            </w:pPr>
            <w:r>
              <w:rPr>
                <w:rFonts w:hint="eastAsia" w:ascii="宋体"/>
                <w:szCs w:val="21"/>
                <w:lang w:val="en-US" w:eastAsia="zh-CN"/>
              </w:rPr>
              <w:t>4</w:t>
            </w:r>
            <w:r>
              <w:rPr>
                <w:rFonts w:hint="eastAsia" w:ascii="宋体"/>
                <w:szCs w:val="21"/>
              </w:rPr>
              <w:t>、巡检内容涉及到UPS的调试检查设置操作等内容，须提供关键UPS主设备生产商的原厂工程师证明或者原厂认证的高级工程师及原厂授权书；</w:t>
            </w:r>
          </w:p>
          <w:p>
            <w:pPr>
              <w:numPr>
                <w:ilvl w:val="0"/>
                <w:numId w:val="0"/>
              </w:numPr>
              <w:ind w:leftChars="0"/>
              <w:rPr>
                <w:rFonts w:hint="eastAsia" w:ascii="宋体"/>
                <w:szCs w:val="21"/>
              </w:rPr>
            </w:pPr>
            <w:r>
              <w:rPr>
                <w:rFonts w:hint="eastAsia" w:ascii="宋体"/>
                <w:szCs w:val="21"/>
              </w:rPr>
              <w:t>★</w:t>
            </w:r>
            <w:r>
              <w:rPr>
                <w:rFonts w:hint="eastAsia" w:ascii="宋体"/>
                <w:szCs w:val="21"/>
                <w:lang w:val="en-US" w:eastAsia="zh-CN"/>
              </w:rPr>
              <w:t>5</w:t>
            </w:r>
            <w:r>
              <w:rPr>
                <w:rFonts w:hint="eastAsia" w:ascii="宋体"/>
                <w:szCs w:val="21"/>
              </w:rPr>
              <w:t>、供应商要求：须获得关键主设备原厂家维保授权书及原厂售后服务承诺函。</w:t>
            </w:r>
          </w:p>
          <w:p>
            <w:pPr>
              <w:numPr>
                <w:ilvl w:val="0"/>
                <w:numId w:val="0"/>
              </w:numPr>
              <w:ind w:leftChars="0"/>
              <w:rPr>
                <w:rFonts w:hint="eastAsia" w:ascii="宋体" w:hAnsi="宋体" w:cs="宋体"/>
                <w:kern w:val="2"/>
                <w:sz w:val="24"/>
                <w:szCs w:val="32"/>
                <w:lang w:val="en-US" w:eastAsia="zh-CN" w:bidi="ar"/>
              </w:rPr>
            </w:pPr>
            <w:r>
              <w:rPr>
                <w:rFonts w:hint="eastAsia" w:ascii="宋体"/>
                <w:szCs w:val="21"/>
              </w:rPr>
              <w:t>★</w:t>
            </w:r>
            <w:r>
              <w:rPr>
                <w:rFonts w:hint="eastAsia" w:ascii="宋体"/>
                <w:szCs w:val="21"/>
                <w:lang w:val="en-US" w:eastAsia="zh-CN"/>
              </w:rPr>
              <w:t>6</w:t>
            </w:r>
            <w:r>
              <w:rPr>
                <w:rFonts w:hint="eastAsia" w:ascii="宋体"/>
                <w:szCs w:val="21"/>
              </w:rPr>
              <w:t>、出现故障10分钟内做出响应，1小时内到达维修现场。一般问题应在6小时内解决，重大问题或其它无法迅速解决的问题应在1日内解决，不能解决的在2日内提供备机服务。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hint="eastAsia" w:ascii="宋体" w:hAnsi="宋体"/>
                <w:szCs w:val="21"/>
              </w:rPr>
            </w:pPr>
            <w:r>
              <w:rPr>
                <w:rFonts w:hint="eastAsia" w:ascii="宋体" w:hAnsi="宋体"/>
                <w:szCs w:val="21"/>
              </w:rPr>
              <w:t>一、合同签订期：自采购结果公告结束之日起7个工作日内。</w:t>
            </w:r>
          </w:p>
          <w:p>
            <w:pPr>
              <w:spacing w:line="420" w:lineRule="exact"/>
              <w:rPr>
                <w:rFonts w:hint="eastAsia" w:ascii="宋体" w:hAnsi="宋体"/>
                <w:szCs w:val="21"/>
              </w:rPr>
            </w:pPr>
            <w:r>
              <w:rPr>
                <w:rFonts w:hint="eastAsia" w:ascii="宋体" w:hAnsi="宋体"/>
                <w:szCs w:val="21"/>
              </w:rPr>
              <w:t>二、</w:t>
            </w:r>
            <w:r>
              <w:rPr>
                <w:rFonts w:hint="eastAsia" w:ascii="宋体" w:hAnsi="宋体"/>
                <w:szCs w:val="21"/>
                <w:lang w:val="en-US" w:eastAsia="zh-CN"/>
              </w:rPr>
              <w:t>服务</w:t>
            </w:r>
            <w:r>
              <w:rPr>
                <w:rFonts w:hint="eastAsia" w:ascii="宋体" w:hAnsi="宋体"/>
                <w:szCs w:val="21"/>
              </w:rPr>
              <w:t>时间：合同签订之日起</w:t>
            </w:r>
            <w:r>
              <w:rPr>
                <w:rFonts w:hint="eastAsia" w:ascii="宋体" w:hAnsi="宋体"/>
                <w:szCs w:val="21"/>
                <w:lang w:val="en-US" w:eastAsia="zh-CN"/>
              </w:rPr>
              <w:t>一年</w:t>
            </w:r>
            <w:r>
              <w:rPr>
                <w:rFonts w:hint="eastAsia" w:ascii="宋体" w:hAnsi="宋体"/>
                <w:szCs w:val="21"/>
              </w:rPr>
              <w:t>。</w:t>
            </w:r>
          </w:p>
          <w:p>
            <w:pPr>
              <w:spacing w:line="420" w:lineRule="exact"/>
              <w:rPr>
                <w:rFonts w:hint="eastAsia" w:ascii="宋体" w:hAnsi="宋体"/>
                <w:szCs w:val="21"/>
              </w:rPr>
            </w:pPr>
            <w:r>
              <w:rPr>
                <w:rFonts w:hint="eastAsia" w:ascii="宋体" w:hAnsi="宋体"/>
                <w:szCs w:val="21"/>
              </w:rPr>
              <w:t>三、</w:t>
            </w:r>
            <w:r>
              <w:rPr>
                <w:rFonts w:hint="eastAsia" w:ascii="宋体" w:hAnsi="宋体"/>
                <w:szCs w:val="21"/>
                <w:lang w:val="en-US" w:eastAsia="zh-CN"/>
              </w:rPr>
              <w:t>服务</w:t>
            </w:r>
            <w:r>
              <w:rPr>
                <w:rFonts w:hint="eastAsia" w:ascii="宋体" w:hAnsi="宋体"/>
                <w:szCs w:val="21"/>
              </w:rPr>
              <w:t>地点：南宁中心血站指定地点。</w:t>
            </w:r>
          </w:p>
          <w:p>
            <w:pPr>
              <w:spacing w:line="420" w:lineRule="exact"/>
              <w:rPr>
                <w:rFonts w:hint="eastAsia" w:ascii="宋体" w:hAnsi="宋体"/>
                <w:szCs w:val="21"/>
              </w:rPr>
            </w:pPr>
            <w:r>
              <w:rPr>
                <w:rFonts w:hint="eastAsia" w:ascii="宋体" w:hAnsi="宋体"/>
                <w:szCs w:val="21"/>
              </w:rPr>
              <w:t>四、其他要求：</w:t>
            </w:r>
          </w:p>
          <w:p>
            <w:pPr>
              <w:spacing w:line="420" w:lineRule="exact"/>
              <w:rPr>
                <w:rFonts w:hint="eastAsia" w:ascii="宋体" w:hAnsi="宋体"/>
                <w:szCs w:val="21"/>
              </w:rPr>
            </w:pPr>
            <w:r>
              <w:rPr>
                <w:rFonts w:hint="eastAsia" w:ascii="宋体" w:hAnsi="宋体"/>
                <w:szCs w:val="21"/>
              </w:rPr>
              <w:t>1、为保障设备日常维护和维修的及时性，关键主设备产品（容量≥10KVA）原生产厂家须在广西区内设立原厂服务机构及备品备件库（直属或分公司），且详细说明原厂服务机构技术工程师数量、工程安装与维护队伍人员数量、抢修车辆、仓库图片、备件库规模等。</w:t>
            </w:r>
          </w:p>
          <w:p>
            <w:pPr>
              <w:spacing w:line="420" w:lineRule="exact"/>
              <w:rPr>
                <w:rFonts w:hint="eastAsia" w:ascii="宋体" w:hAnsi="宋体"/>
                <w:szCs w:val="21"/>
              </w:rPr>
            </w:pPr>
            <w:r>
              <w:rPr>
                <w:rFonts w:hint="eastAsia" w:ascii="宋体" w:hAnsi="宋体"/>
                <w:szCs w:val="21"/>
              </w:rPr>
              <w:t>五、报价必须含以下部分，包括：</w:t>
            </w:r>
          </w:p>
          <w:p>
            <w:pPr>
              <w:spacing w:line="420" w:lineRule="exact"/>
              <w:rPr>
                <w:rFonts w:hint="eastAsia" w:ascii="宋体" w:hAnsi="宋体"/>
                <w:szCs w:val="21"/>
              </w:rPr>
            </w:pPr>
            <w:r>
              <w:rPr>
                <w:rFonts w:hint="eastAsia" w:ascii="宋体" w:hAnsi="宋体"/>
                <w:szCs w:val="21"/>
              </w:rPr>
              <w:t>（1）服务的价格；</w:t>
            </w:r>
          </w:p>
          <w:p>
            <w:pPr>
              <w:spacing w:line="420" w:lineRule="exact"/>
              <w:rPr>
                <w:rFonts w:hint="eastAsia" w:ascii="宋体" w:hAnsi="宋体"/>
                <w:szCs w:val="21"/>
              </w:rPr>
            </w:pPr>
            <w:r>
              <w:rPr>
                <w:rFonts w:hint="eastAsia" w:ascii="宋体" w:hAnsi="宋体"/>
                <w:szCs w:val="21"/>
              </w:rPr>
              <w:t>（2）必要的保险费用和各项税金；</w:t>
            </w:r>
          </w:p>
          <w:p>
            <w:pPr>
              <w:spacing w:line="420" w:lineRule="exact"/>
              <w:rPr>
                <w:rFonts w:hint="eastAsia" w:ascii="宋体" w:hAnsi="宋体"/>
                <w:szCs w:val="21"/>
              </w:rPr>
            </w:pPr>
            <w:r>
              <w:rPr>
                <w:rFonts w:hint="eastAsia" w:ascii="宋体" w:hAnsi="宋体"/>
                <w:szCs w:val="21"/>
              </w:rPr>
              <w:t>（3）其他如培训、交通、差旅、售后服务等费用。</w:t>
            </w:r>
          </w:p>
          <w:p>
            <w:pPr>
              <w:spacing w:line="420" w:lineRule="exact"/>
              <w:rPr>
                <w:rFonts w:ascii="宋体" w:hAnsi="宋体"/>
                <w:szCs w:val="21"/>
              </w:rPr>
            </w:pPr>
            <w:r>
              <w:rPr>
                <w:rFonts w:hint="eastAsia" w:ascii="宋体" w:hAnsi="宋体"/>
                <w:szCs w:val="21"/>
              </w:rPr>
              <w:t>六、付款方式：</w:t>
            </w:r>
            <w:r>
              <w:rPr>
                <w:rFonts w:hint="eastAsia" w:ascii="宋体" w:hAnsi="宋体"/>
                <w:szCs w:val="21"/>
                <w:lang w:val="en-US" w:eastAsia="zh-CN"/>
              </w:rPr>
              <w:t>签订合同后支付50%合同</w:t>
            </w:r>
            <w:r>
              <w:rPr>
                <w:rFonts w:hint="eastAsia" w:ascii="宋体" w:hAnsi="宋体"/>
                <w:szCs w:val="21"/>
              </w:rPr>
              <w:t>款，</w:t>
            </w:r>
            <w:r>
              <w:rPr>
                <w:rFonts w:hint="eastAsia" w:ascii="宋体" w:hAnsi="宋体"/>
                <w:szCs w:val="21"/>
                <w:lang w:val="en-US" w:eastAsia="zh-CN"/>
              </w:rPr>
              <w:t>服务期到期前15日内</w:t>
            </w:r>
            <w:r>
              <w:rPr>
                <w:rFonts w:hint="eastAsia" w:ascii="宋体" w:hAnsi="宋体"/>
                <w:szCs w:val="21"/>
              </w:rPr>
              <w:t>支付</w:t>
            </w:r>
            <w:r>
              <w:rPr>
                <w:rFonts w:hint="eastAsia" w:ascii="宋体" w:hAnsi="宋体"/>
                <w:szCs w:val="21"/>
                <w:lang w:val="en-US" w:eastAsia="zh-CN"/>
              </w:rPr>
              <w:t>剩余</w:t>
            </w:r>
            <w:bookmarkStart w:id="0" w:name="_GoBack"/>
            <w:bookmarkEnd w:id="0"/>
            <w:r>
              <w:rPr>
                <w:rFonts w:hint="eastAsia" w:ascii="宋体" w:hAnsi="宋体"/>
                <w:szCs w:val="21"/>
              </w:rPr>
              <w:t>合同款（付款前需提供增值税普通发票）。</w:t>
            </w:r>
          </w:p>
        </w:tc>
      </w:tr>
    </w:tbl>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4F205215"/>
    <w:rsid w:val="09B12778"/>
    <w:rsid w:val="11BC587F"/>
    <w:rsid w:val="125A3098"/>
    <w:rsid w:val="14C52A4A"/>
    <w:rsid w:val="173C0BAA"/>
    <w:rsid w:val="1AF75928"/>
    <w:rsid w:val="1E8A0B5C"/>
    <w:rsid w:val="241E7179"/>
    <w:rsid w:val="242D5F16"/>
    <w:rsid w:val="24763D61"/>
    <w:rsid w:val="254774AC"/>
    <w:rsid w:val="30C52220"/>
    <w:rsid w:val="358B3F87"/>
    <w:rsid w:val="36695A18"/>
    <w:rsid w:val="39773EAF"/>
    <w:rsid w:val="454060B5"/>
    <w:rsid w:val="458152DF"/>
    <w:rsid w:val="4F205215"/>
    <w:rsid w:val="4F561970"/>
    <w:rsid w:val="5D07484F"/>
    <w:rsid w:val="60D36860"/>
    <w:rsid w:val="68966727"/>
    <w:rsid w:val="693C4BE9"/>
    <w:rsid w:val="6B94384F"/>
    <w:rsid w:val="70020AF1"/>
    <w:rsid w:val="73042B40"/>
    <w:rsid w:val="73AC4A08"/>
    <w:rsid w:val="76D11CFE"/>
    <w:rsid w:val="7EDF4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1101</Words>
  <Characters>1239</Characters>
  <Lines>0</Lines>
  <Paragraphs>0</Paragraphs>
  <TotalTime>45</TotalTime>
  <ScaleCrop>false</ScaleCrop>
  <LinksUpToDate>false</LinksUpToDate>
  <CharactersWithSpaces>1241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cp:lastPrinted>2022-12-15T07:57:00Z</cp:lastPrinted>
  <dcterms:modified xsi:type="dcterms:W3CDTF">2023-07-28T09:33:17Z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C80ADB434652476CA3535D3345BB208A</vt:lpwstr>
  </property>
</Properties>
</file>