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left"/>
        <w:rPr>
          <w:sz w:val="28"/>
          <w:szCs w:val="28"/>
        </w:rPr>
      </w:pPr>
      <w:r>
        <w:rPr>
          <w:rFonts w:hint="eastAsia"/>
          <w:sz w:val="28"/>
          <w:szCs w:val="28"/>
        </w:rPr>
        <w:t>附件3：</w:t>
      </w:r>
    </w:p>
    <w:p>
      <w:pPr>
        <w:pStyle w:val="5"/>
        <w:spacing w:line="500" w:lineRule="exact"/>
        <w:jc w:val="center"/>
        <w:rPr>
          <w:rFonts w:hAnsi="宋体"/>
          <w:b/>
          <w:bCs/>
          <w:sz w:val="30"/>
          <w:szCs w:val="30"/>
        </w:rPr>
      </w:pPr>
      <w:r>
        <w:rPr>
          <w:rFonts w:hint="eastAsia" w:hAnsi="宋体"/>
          <w:b/>
          <w:bCs/>
          <w:sz w:val="30"/>
          <w:szCs w:val="30"/>
        </w:rPr>
        <w:t>响应技术资料表</w:t>
      </w:r>
    </w:p>
    <w:p>
      <w:pPr>
        <w:pStyle w:val="5"/>
        <w:ind w:firstLine="210" w:firstLineChars="100"/>
        <w:rPr>
          <w:rFonts w:hAnsi="宋体"/>
        </w:rPr>
      </w:pPr>
    </w:p>
    <w:p>
      <w:pPr>
        <w:pStyle w:val="5"/>
        <w:spacing w:line="440" w:lineRule="exact"/>
        <w:ind w:firstLine="420" w:firstLineChars="200"/>
        <w:rPr>
          <w:rFonts w:asciiTheme="minorEastAsia" w:hAnsiTheme="minorEastAsia"/>
          <w:szCs w:val="21"/>
        </w:rPr>
      </w:pPr>
      <w:r>
        <w:rPr>
          <w:rFonts w:hint="eastAsia" w:asciiTheme="minorEastAsia" w:hAnsiTheme="minorEastAsia"/>
          <w:szCs w:val="21"/>
        </w:rPr>
        <w:t>请根据所响应的实际情况，逐条对应本项目附件1“采购需求一览表”中</w:t>
      </w:r>
      <w:r>
        <w:rPr>
          <w:rFonts w:hAnsi="宋体"/>
          <w:szCs w:val="21"/>
        </w:rPr>
        <w:t>的内容及要求详细填写相应的具体内容</w:t>
      </w:r>
      <w:r>
        <w:rPr>
          <w:rFonts w:hint="eastAsia" w:asciiTheme="minorEastAsia" w:hAnsiTheme="minorEastAsia"/>
          <w:szCs w:val="21"/>
        </w:rPr>
        <w:t>。“偏离说明”一栏选择“正偏离”、“负偏离”或“无偏离”进行填写。</w:t>
      </w:r>
    </w:p>
    <w:p>
      <w:pPr>
        <w:pStyle w:val="5"/>
        <w:rPr>
          <w:rFonts w:hAnsi="宋体"/>
          <w:szCs w:val="21"/>
        </w:rPr>
      </w:pP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2"/>
        <w:gridCol w:w="660"/>
        <w:gridCol w:w="4355"/>
        <w:gridCol w:w="912"/>
        <w:gridCol w:w="1687"/>
        <w:gridCol w:w="5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200" w:type="pct"/>
            <w:vMerge w:val="restart"/>
            <w:vAlign w:val="center"/>
          </w:tcPr>
          <w:p>
            <w:pPr>
              <w:pStyle w:val="5"/>
              <w:jc w:val="center"/>
              <w:rPr>
                <w:rFonts w:hAnsi="宋体"/>
                <w:spacing w:val="-20"/>
                <w:szCs w:val="21"/>
              </w:rPr>
            </w:pPr>
            <w:r>
              <w:rPr>
                <w:rFonts w:hint="eastAsia" w:hAnsi="宋体"/>
                <w:spacing w:val="-20"/>
                <w:szCs w:val="21"/>
              </w:rPr>
              <w:t>序号</w:t>
            </w:r>
          </w:p>
        </w:tc>
        <w:tc>
          <w:tcPr>
            <w:tcW w:w="2942" w:type="pct"/>
            <w:gridSpan w:val="2"/>
            <w:vAlign w:val="center"/>
          </w:tcPr>
          <w:p>
            <w:pPr>
              <w:jc w:val="center"/>
              <w:rPr>
                <w:rFonts w:ascii="宋体"/>
                <w:szCs w:val="21"/>
              </w:rPr>
            </w:pPr>
            <w:r>
              <w:rPr>
                <w:rFonts w:hint="eastAsia" w:ascii="宋体" w:hAnsi="宋体"/>
                <w:szCs w:val="21"/>
              </w:rPr>
              <w:t>采购文件需求</w:t>
            </w:r>
          </w:p>
        </w:tc>
        <w:tc>
          <w:tcPr>
            <w:tcW w:w="1525" w:type="pct"/>
            <w:gridSpan w:val="2"/>
            <w:vAlign w:val="center"/>
          </w:tcPr>
          <w:p>
            <w:pPr>
              <w:jc w:val="center"/>
              <w:rPr>
                <w:rFonts w:ascii="宋体"/>
                <w:szCs w:val="21"/>
              </w:rPr>
            </w:pPr>
            <w:r>
              <w:rPr>
                <w:rFonts w:hint="eastAsia" w:ascii="宋体" w:hAnsi="宋体"/>
                <w:szCs w:val="21"/>
              </w:rPr>
              <w:t>响应文件承诺</w:t>
            </w:r>
          </w:p>
        </w:tc>
        <w:tc>
          <w:tcPr>
            <w:tcW w:w="332" w:type="pct"/>
            <w:vMerge w:val="restart"/>
            <w:vAlign w:val="center"/>
          </w:tcPr>
          <w:p>
            <w:pPr>
              <w:jc w:val="center"/>
              <w:rPr>
                <w:rFonts w:ascii="宋体"/>
                <w:szCs w:val="21"/>
              </w:rPr>
            </w:pPr>
            <w:r>
              <w:rPr>
                <w:rFonts w:hint="eastAsia" w:ascii="宋体" w:hAnsi="宋体"/>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jc w:val="center"/>
        </w:trPr>
        <w:tc>
          <w:tcPr>
            <w:tcW w:w="200" w:type="pct"/>
            <w:vMerge w:val="continue"/>
            <w:vAlign w:val="center"/>
          </w:tcPr>
          <w:p>
            <w:pPr>
              <w:pStyle w:val="5"/>
              <w:jc w:val="center"/>
              <w:rPr>
                <w:rFonts w:hAnsi="宋体"/>
                <w:spacing w:val="-20"/>
                <w:szCs w:val="21"/>
              </w:rPr>
            </w:pPr>
          </w:p>
        </w:tc>
        <w:tc>
          <w:tcPr>
            <w:tcW w:w="387" w:type="pct"/>
            <w:vAlign w:val="center"/>
          </w:tcPr>
          <w:p>
            <w:pPr>
              <w:jc w:val="center"/>
              <w:rPr>
                <w:rFonts w:ascii="宋体"/>
                <w:szCs w:val="21"/>
              </w:rPr>
            </w:pPr>
            <w:r>
              <w:rPr>
                <w:rFonts w:hint="eastAsia" w:ascii="宋体" w:hAnsi="宋体"/>
                <w:szCs w:val="21"/>
              </w:rPr>
              <w:t>服务名称</w:t>
            </w:r>
          </w:p>
        </w:tc>
        <w:tc>
          <w:tcPr>
            <w:tcW w:w="2554" w:type="pct"/>
            <w:vAlign w:val="center"/>
          </w:tcPr>
          <w:p>
            <w:pPr>
              <w:jc w:val="center"/>
              <w:rPr>
                <w:rFonts w:ascii="宋体"/>
                <w:szCs w:val="21"/>
              </w:rPr>
            </w:pPr>
            <w:r>
              <w:rPr>
                <w:rFonts w:hint="eastAsia" w:ascii="宋体" w:hAnsi="宋体"/>
                <w:szCs w:val="21"/>
              </w:rPr>
              <w:t>采购内容及要求</w:t>
            </w:r>
          </w:p>
        </w:tc>
        <w:tc>
          <w:tcPr>
            <w:tcW w:w="535" w:type="pct"/>
            <w:vAlign w:val="center"/>
          </w:tcPr>
          <w:p>
            <w:pPr>
              <w:jc w:val="center"/>
              <w:rPr>
                <w:rFonts w:ascii="宋体"/>
                <w:szCs w:val="21"/>
              </w:rPr>
            </w:pPr>
            <w:r>
              <w:rPr>
                <w:rFonts w:hint="eastAsia" w:ascii="宋体" w:hAnsi="宋体"/>
                <w:szCs w:val="21"/>
              </w:rPr>
              <w:t>服务名称</w:t>
            </w:r>
          </w:p>
        </w:tc>
        <w:tc>
          <w:tcPr>
            <w:tcW w:w="990" w:type="pct"/>
            <w:vAlign w:val="center"/>
          </w:tcPr>
          <w:p>
            <w:pPr>
              <w:jc w:val="center"/>
              <w:rPr>
                <w:rFonts w:ascii="宋体"/>
                <w:szCs w:val="21"/>
              </w:rPr>
            </w:pPr>
            <w:r>
              <w:rPr>
                <w:rFonts w:hint="eastAsia" w:ascii="宋体" w:hAnsi="宋体"/>
                <w:szCs w:val="21"/>
              </w:rPr>
              <w:t>所提供服务的内容</w:t>
            </w:r>
          </w:p>
        </w:tc>
        <w:tc>
          <w:tcPr>
            <w:tcW w:w="332" w:type="pct"/>
            <w:vMerge w:val="continue"/>
            <w:vAlign w:val="center"/>
          </w:tcPr>
          <w:p>
            <w:pPr>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0" w:type="pct"/>
            <w:vAlign w:val="center"/>
          </w:tcPr>
          <w:p>
            <w:pPr>
              <w:pStyle w:val="5"/>
              <w:jc w:val="center"/>
              <w:rPr>
                <w:rFonts w:hAnsi="宋体"/>
                <w:spacing w:val="-20"/>
                <w:szCs w:val="21"/>
              </w:rPr>
            </w:pPr>
            <w:r>
              <w:rPr>
                <w:rFonts w:hAnsi="宋体"/>
                <w:spacing w:val="-20"/>
                <w:szCs w:val="21"/>
              </w:rPr>
              <w:t>1</w:t>
            </w:r>
          </w:p>
        </w:tc>
        <w:tc>
          <w:tcPr>
            <w:tcW w:w="387" w:type="pct"/>
            <w:vAlign w:val="center"/>
          </w:tcPr>
          <w:p>
            <w:pPr>
              <w:rPr>
                <w:rFonts w:hAnsi="宋体"/>
                <w:szCs w:val="21"/>
              </w:rPr>
            </w:pPr>
            <w:r>
              <w:rPr>
                <w:rFonts w:hint="eastAsia" w:ascii="宋体" w:cs="Times New Roman"/>
              </w:rPr>
              <w:t>南宁中心血站-2023年东盟血液安全论坛会务、直播服务</w:t>
            </w:r>
          </w:p>
        </w:tc>
        <w:tc>
          <w:tcPr>
            <w:tcW w:w="2554" w:type="pct"/>
            <w:vAlign w:val="center"/>
          </w:tcPr>
          <w:p>
            <w:pPr>
              <w:pStyle w:val="3"/>
            </w:pPr>
            <w:r>
              <w:rPr>
                <w:rFonts w:hint="eastAsia"/>
              </w:rPr>
              <w:t>一、项目概况：</w:t>
            </w:r>
          </w:p>
          <w:p>
            <w:pPr>
              <w:pStyle w:val="3"/>
              <w:ind w:firstLine="420" w:firstLineChars="200"/>
              <w:rPr>
                <w:rFonts w:hint="default" w:eastAsiaTheme="minorEastAsia"/>
                <w:lang w:val="en-US" w:eastAsia="zh-CN"/>
              </w:rPr>
            </w:pPr>
            <w:r>
              <w:rPr>
                <w:rFonts w:hint="eastAsia"/>
                <w:lang w:val="en-US" w:eastAsia="zh-CN"/>
              </w:rPr>
              <w:t>2023年东盟血液安全论坛将于2023年11月14-17日（14日报到、15-17日会议、18日撤离） 在防城港市港宸国际大酒店·港宸厅采取线下+直播的形式开展，论坛由南宁中心血站和防城港市中心血站共同主办。为保证论坛顺利开展，南宁中心血站计划采购第三方进行全程服务。</w:t>
            </w:r>
          </w:p>
          <w:p>
            <w:pPr>
              <w:pStyle w:val="3"/>
            </w:pPr>
            <w:r>
              <w:rPr>
                <w:rFonts w:hint="eastAsia"/>
              </w:rPr>
              <w:t>★二、</w:t>
            </w:r>
            <w:r>
              <w:rPr>
                <w:rFonts w:hint="eastAsia"/>
                <w:lang w:val="en-US" w:eastAsia="zh-CN"/>
              </w:rPr>
              <w:t>具体</w:t>
            </w:r>
            <w:r>
              <w:rPr>
                <w:rFonts w:hint="eastAsia"/>
              </w:rPr>
              <w:t>服务</w:t>
            </w:r>
            <w:r>
              <w:rPr>
                <w:rFonts w:hint="eastAsia"/>
                <w:lang w:val="en-US" w:eastAsia="zh-CN"/>
              </w:rPr>
              <w:t>内容及要求如下表</w:t>
            </w:r>
            <w:r>
              <w:rPr>
                <w:rFonts w:hint="eastAsia"/>
              </w:rPr>
              <w:t>：</w:t>
            </w:r>
          </w:p>
          <w:tbl>
            <w:tblPr>
              <w:tblStyle w:val="6"/>
              <w:tblW w:w="0" w:type="auto"/>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77"/>
              <w:gridCol w:w="376"/>
              <w:gridCol w:w="376"/>
              <w:gridCol w:w="666"/>
              <w:gridCol w:w="1380"/>
              <w:gridCol w:w="414"/>
              <w:gridCol w:w="647"/>
              <w:gridCol w:w="4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377" w:type="dxa"/>
                  <w:tcBorders>
                    <w:top w:val="single" w:color="000000" w:sz="4" w:space="0"/>
                    <w:left w:val="single" w:color="000000" w:sz="4" w:space="0"/>
                    <w:bottom w:val="single" w:color="000000" w:sz="4" w:space="0"/>
                    <w:right w:val="single" w:color="000000" w:sz="4" w:space="0"/>
                  </w:tcBorders>
                  <w:shd w:val="clear" w:color="auto" w:fill="DDEBF7"/>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序号</w:t>
                  </w:r>
                </w:p>
              </w:tc>
              <w:tc>
                <w:tcPr>
                  <w:tcW w:w="752" w:type="dxa"/>
                  <w:gridSpan w:val="2"/>
                  <w:tcBorders>
                    <w:top w:val="single" w:color="000000" w:sz="4" w:space="0"/>
                    <w:left w:val="single" w:color="000000" w:sz="4" w:space="0"/>
                    <w:bottom w:val="single" w:color="000000" w:sz="4" w:space="0"/>
                    <w:right w:val="single" w:color="000000" w:sz="4" w:space="0"/>
                  </w:tcBorders>
                  <w:shd w:val="clear" w:color="auto" w:fill="DDEBF7"/>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服务内容</w:t>
                  </w: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DDEBF7"/>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具体服务标准及明细</w:t>
                  </w:r>
                </w:p>
              </w:tc>
              <w:tc>
                <w:tcPr>
                  <w:tcW w:w="414" w:type="dxa"/>
                  <w:tcBorders>
                    <w:top w:val="single" w:color="000000" w:sz="4" w:space="0"/>
                    <w:left w:val="single" w:color="000000" w:sz="4" w:space="0"/>
                    <w:bottom w:val="single" w:color="000000" w:sz="4" w:space="0"/>
                    <w:right w:val="single" w:color="000000" w:sz="4" w:space="0"/>
                  </w:tcBorders>
                  <w:shd w:val="clear" w:color="auto" w:fill="DDEBF7"/>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单位</w:t>
                  </w:r>
                </w:p>
              </w:tc>
              <w:tc>
                <w:tcPr>
                  <w:tcW w:w="647" w:type="dxa"/>
                  <w:tcBorders>
                    <w:top w:val="single" w:color="000000" w:sz="4" w:space="0"/>
                    <w:left w:val="single" w:color="000000" w:sz="4" w:space="0"/>
                    <w:bottom w:val="single" w:color="000000" w:sz="4" w:space="0"/>
                    <w:right w:val="single" w:color="000000" w:sz="4" w:space="0"/>
                  </w:tcBorders>
                  <w:shd w:val="clear" w:color="auto" w:fill="DDEBF7"/>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数量</w:t>
                  </w:r>
                </w:p>
              </w:tc>
              <w:tc>
                <w:tcPr>
                  <w:tcW w:w="463" w:type="dxa"/>
                  <w:tcBorders>
                    <w:top w:val="single" w:color="000000" w:sz="4" w:space="0"/>
                    <w:left w:val="single" w:color="000000" w:sz="4" w:space="0"/>
                    <w:bottom w:val="single" w:color="000000" w:sz="4" w:space="0"/>
                    <w:right w:val="single" w:color="000000" w:sz="4" w:space="0"/>
                  </w:tcBorders>
                  <w:shd w:val="clear" w:color="auto" w:fill="DDEBF7"/>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其他要求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376"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设计定制类服务</w:t>
                  </w:r>
                </w:p>
              </w:tc>
              <w:tc>
                <w:tcPr>
                  <w:tcW w:w="3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网站设计制作</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呈现效果</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提供九宫格式手机微站模板，可实现一级二级导航，新闻动态发布和维护管理</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个</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4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设计内容须与采购人沟通确认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网站栏目内容</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培训通知，在线报名，会议日程，专家介绍，直播入口，联系我们，学分授予说明， 以及其他按主办方需求设计其他内容</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个</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4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主图及日程设计</w:t>
                  </w: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sz w:val="16"/>
                      <w:szCs w:val="16"/>
                      <w:u w:val="none"/>
                      <w:lang w:val="en-US" w:eastAsia="zh-CN"/>
                    </w:rPr>
                    <w:t>/</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份</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4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专家邀请函设计</w:t>
                  </w: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sz w:val="16"/>
                      <w:szCs w:val="16"/>
                      <w:u w:val="none"/>
                      <w:lang w:val="en-US" w:eastAsia="zh-CN"/>
                    </w:rPr>
                    <w:t>/</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份</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4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会议海报设计</w:t>
                  </w: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sz w:val="16"/>
                      <w:szCs w:val="16"/>
                      <w:u w:val="none"/>
                      <w:lang w:val="en-US" w:eastAsia="zh-CN"/>
                    </w:rPr>
                    <w:t>/</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份</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4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3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75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会场布置</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道旗</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使用5米注水道旗打造会议现场氛围</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套</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4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内容设计完成后须与采购人确认再制作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5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签到区</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入住签到背景桁架搭建及喷绘：桁架搭建及喷绘尺寸至少为5米*3米</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块</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4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5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会议签到主题背景桁架搭建及喷绘：桁架搭建及喷绘尺寸至少为4米*3米</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块</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4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5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会场外部道路引导牌</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框架由KT板+铁架子组成，尺寸约为0.8米*0.8米</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块</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4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5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显示屏边栏</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使用KT板搭建LED屏边栏展示会议主题，尺寸约1.5米*5米，具体尺寸以现场实际为准</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块</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4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5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舞台前沿</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使用KT板搭建会议展示内容，尺寸约为16米*0.8米，具体尺寸以现场实际为准</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块</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4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5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电子讲台</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展示讲课老师简介</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个</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4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5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台卡</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使用KT板割槽折边制作座位安排姓名卡</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套</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40</w:t>
                  </w:r>
                </w:p>
              </w:tc>
              <w:tc>
                <w:tcPr>
                  <w:tcW w:w="4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5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胸牌</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胸牌带挂绳，用于区分不同参会人员，其中嘉宾证30张、学员证200张、工作人员20张</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张</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250</w:t>
                  </w:r>
                </w:p>
              </w:tc>
              <w:tc>
                <w:tcPr>
                  <w:tcW w:w="4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5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现场设备及播控系统</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音频、视频、灯光、同传设备、播控系统必须为品牌设备，确保线上录播画面效果、音质质量，不能出现任何花屏、杂音、失真现象</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5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配备备用电源</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保证会场足够的电力供应，确保开幕式和大会顺利实施。</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5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后勤保障</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根据场地及基础设施条件，联合酒店制定安保、用水、用电、通信应急和其他突发情况应急预案，确保会议顺利进行。</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3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w:t>
                  </w:r>
                </w:p>
              </w:tc>
              <w:tc>
                <w:tcPr>
                  <w:tcW w:w="3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直播服务</w:t>
                  </w:r>
                </w:p>
              </w:tc>
              <w:tc>
                <w:tcPr>
                  <w:tcW w:w="3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直播前期准备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检测会场提供各项设备的性能</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包含网络环境，屏幕和音响系统工作状态；当网络不符合要求的，应采取措施改善</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次</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演讲视频的软件录播收集制作</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对不能现场参与会议的专家，须按照采购人提供的专家人数配合提供录播软件实现讲课视频的录制并收集</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个</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专家介绍收集制作</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须将专家头像及履历简介制作成ppt，按采购人提供的会议日程演讲专家人数确定数量</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个</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主持人介绍收集制作</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须将主持人头像及履历简介制作成ppt，按采购人提供的会议日程表主持人人数确定数量</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个</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正式直播</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highlight w:val="none"/>
                      <w:u w:val="none"/>
                      <w:lang w:val="en-US" w:eastAsia="zh-CN" w:bidi="ar"/>
                    </w:rPr>
                    <w:t>直播云平台及推流系统</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主要用于国外线上参会观看直播，实现客户端推流到视频云服务器端，SSL安全，提供不限并发人数的视频云端直播服务</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套</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线上线下视频融合处理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统一对接线下视频信号和线上视频接口，实现线上线下视频同框显示</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套</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专家远程连线讲课</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通过视频会议软件实现专家远程授课</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套</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摄影师</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提供至少5名摄影师</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人</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至少5</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总控</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提供至少1名总控人员按环节进行统筹安排会议进程</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人</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至少1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场务</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提供至少5名场务人员负责会议保障工作</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人</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至少5</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直播结束</w:t>
                  </w:r>
                </w:p>
              </w:tc>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直播数据报告提交</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实现线上学员直播观看数据统计，并根据学员观看直播时长确认学员学分</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份</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根据观看人数时长热度，访客所在地区等统计整体直播数据</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份</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直播课件剪辑</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按照采购人要求将直播全程的视频课件碎片化剪辑</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个</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直播回放</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按采购人要求提供30天以上的直播全程的视频回放</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份</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同声翻译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音控员</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负责将译音传输到直播平台</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人</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80"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隔音室</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1、靠近会议大厅（或观众厅），译音员可以从观察窗清楚地隙望主席台（或观众席）的主要部分。观察窗应采用中间有空气层的双层玻璃隔声窗。</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2、译音室与机房间设联络信号，室外设译音工作指示信号。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3、译音员之间应加隔音板，有条件时设置隔音间，本底噪声不应高于NR20。</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4、译音室应设空调设施并作好消声处理。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5、译音室应作声学处理并设置带有声锁的双层隔声门，要求密封无漏音。</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间</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中英文同声翻译员</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sz w:val="16"/>
                      <w:szCs w:val="16"/>
                      <w:u w:val="none"/>
                      <w:lang w:val="en-US"/>
                    </w:rPr>
                  </w:pPr>
                  <w:r>
                    <w:rPr>
                      <w:rFonts w:hint="eastAsia" w:ascii="宋体" w:hAnsi="宋体" w:eastAsia="宋体" w:cs="宋体"/>
                      <w:i w:val="0"/>
                      <w:iCs w:val="0"/>
                      <w:color w:val="000000"/>
                      <w:kern w:val="0"/>
                      <w:sz w:val="16"/>
                      <w:szCs w:val="16"/>
                      <w:u w:val="none"/>
                      <w:lang w:val="en-US" w:eastAsia="zh-CN" w:bidi="ar"/>
                    </w:rPr>
                    <w:t>要求具有医学相关专业硕士研究生以上，英语六级以上，熟练掌握医学专业英语知识，有扎实的双语能力和口头表达能力。</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人</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同声翻译协助人员</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会议过程负责译音室内设备的正常运行</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人</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硬件设备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笔记本电脑</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highlight w:val="none"/>
                      <w:u w:val="none"/>
                      <w:lang w:val="en-US" w:eastAsia="zh-CN" w:bidi="ar"/>
                    </w:rPr>
                    <w:t xml:space="preserve">CPU性能满足或优于酷睿 i7第11代 </w:t>
                  </w:r>
                  <w:r>
                    <w:rPr>
                      <w:rFonts w:hint="eastAsia" w:ascii="宋体" w:hAnsi="宋体" w:eastAsia="宋体" w:cs="宋体"/>
                      <w:i w:val="0"/>
                      <w:iCs w:val="0"/>
                      <w:color w:val="000000"/>
                      <w:kern w:val="0"/>
                      <w:sz w:val="16"/>
                      <w:szCs w:val="16"/>
                      <w:highlight w:val="none"/>
                      <w:u w:val="none"/>
                      <w:lang w:val="en-US" w:eastAsia="zh-CN" w:bidi="ar"/>
                    </w:rPr>
                    <w:br w:type="textWrapping"/>
                  </w:r>
                  <w:r>
                    <w:rPr>
                      <w:rFonts w:hint="eastAsia" w:ascii="宋体" w:hAnsi="宋体" w:eastAsia="宋体" w:cs="宋体"/>
                      <w:i w:val="0"/>
                      <w:iCs w:val="0"/>
                      <w:color w:val="000000"/>
                      <w:kern w:val="0"/>
                      <w:sz w:val="16"/>
                      <w:szCs w:val="16"/>
                      <w:highlight w:val="none"/>
                      <w:u w:val="none"/>
                      <w:lang w:val="en-US" w:eastAsia="zh-CN" w:bidi="ar"/>
                    </w:rPr>
                    <w:t xml:space="preserve">固态硬盘容量：≥512GB </w:t>
                  </w:r>
                  <w:r>
                    <w:rPr>
                      <w:rFonts w:hint="eastAsia" w:ascii="宋体" w:hAnsi="宋体" w:eastAsia="宋体" w:cs="宋体"/>
                      <w:i w:val="0"/>
                      <w:iCs w:val="0"/>
                      <w:color w:val="000000"/>
                      <w:kern w:val="0"/>
                      <w:sz w:val="16"/>
                      <w:szCs w:val="16"/>
                      <w:highlight w:val="none"/>
                      <w:u w:val="none"/>
                      <w:lang w:val="en-US" w:eastAsia="zh-CN" w:bidi="ar"/>
                    </w:rPr>
                    <w:br w:type="textWrapping"/>
                  </w:r>
                  <w:r>
                    <w:rPr>
                      <w:rFonts w:hint="eastAsia" w:ascii="宋体" w:hAnsi="宋体" w:eastAsia="宋体" w:cs="宋体"/>
                      <w:i w:val="0"/>
                      <w:iCs w:val="0"/>
                      <w:color w:val="000000"/>
                      <w:kern w:val="0"/>
                      <w:sz w:val="16"/>
                      <w:szCs w:val="16"/>
                      <w:highlight w:val="none"/>
                      <w:u w:val="none"/>
                      <w:lang w:val="en-US" w:eastAsia="zh-CN" w:bidi="ar"/>
                    </w:rPr>
                    <w:t xml:space="preserve">内存容量：≥16GB </w:t>
                  </w:r>
                  <w:r>
                    <w:rPr>
                      <w:rFonts w:hint="eastAsia" w:ascii="宋体" w:hAnsi="宋体" w:eastAsia="宋体" w:cs="宋体"/>
                      <w:i w:val="0"/>
                      <w:iCs w:val="0"/>
                      <w:color w:val="000000"/>
                      <w:kern w:val="0"/>
                      <w:sz w:val="16"/>
                      <w:szCs w:val="16"/>
                      <w:highlight w:val="none"/>
                      <w:u w:val="none"/>
                      <w:lang w:val="en-US" w:eastAsia="zh-CN" w:bidi="ar"/>
                    </w:rPr>
                    <w:br w:type="textWrapping"/>
                  </w:r>
                  <w:r>
                    <w:rPr>
                      <w:rFonts w:hint="eastAsia" w:ascii="宋体" w:hAnsi="宋体" w:eastAsia="宋体" w:cs="宋体"/>
                      <w:i w:val="0"/>
                      <w:iCs w:val="0"/>
                      <w:color w:val="000000"/>
                      <w:kern w:val="0"/>
                      <w:sz w:val="16"/>
                      <w:szCs w:val="16"/>
                      <w:highlight w:val="none"/>
                      <w:u w:val="none"/>
                      <w:lang w:val="en-US" w:eastAsia="zh-CN" w:bidi="ar"/>
                    </w:rPr>
                    <w:t>屏幕分辨率：≥</w:t>
                  </w:r>
                  <w:r>
                    <w:rPr>
                      <w:rFonts w:hint="eastAsia" w:ascii="宋体" w:hAnsi="宋体" w:eastAsia="宋体" w:cs="宋体"/>
                      <w:i w:val="0"/>
                      <w:iCs w:val="0"/>
                      <w:color w:val="000000"/>
                      <w:kern w:val="0"/>
                      <w:sz w:val="16"/>
                      <w:szCs w:val="16"/>
                      <w:u w:val="none"/>
                      <w:lang w:val="en-US" w:eastAsia="zh-CN" w:bidi="ar"/>
                    </w:rPr>
                    <w:t xml:space="preserve">2560x1600像素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操作系统：Windows 11 64位</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台</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PPT翻页激光笔</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1、带光电鼠标+持超链接+翻页+模拟鼠标+注解笔+全屏+黑屏功能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2、遥控距离：</w:t>
                  </w:r>
                  <w:r>
                    <w:rPr>
                      <w:rFonts w:hint="eastAsia" w:ascii="宋体" w:hAnsi="宋体" w:eastAsia="宋体" w:cs="宋体"/>
                      <w:i w:val="0"/>
                      <w:iCs w:val="0"/>
                      <w:color w:val="000000"/>
                      <w:kern w:val="0"/>
                      <w:sz w:val="16"/>
                      <w:szCs w:val="16"/>
                      <w:highlight w:val="none"/>
                      <w:u w:val="none"/>
                      <w:lang w:val="en-US" w:eastAsia="zh-CN" w:bidi="ar"/>
                    </w:rPr>
                    <w:t>≥</w:t>
                  </w:r>
                  <w:r>
                    <w:rPr>
                      <w:rFonts w:hint="eastAsia" w:ascii="宋体" w:hAnsi="宋体" w:eastAsia="宋体" w:cs="宋体"/>
                      <w:i w:val="0"/>
                      <w:iCs w:val="0"/>
                      <w:color w:val="000000"/>
                      <w:kern w:val="0"/>
                      <w:sz w:val="16"/>
                      <w:szCs w:val="16"/>
                      <w:u w:val="none"/>
                      <w:lang w:val="en-US" w:eastAsia="zh-CN" w:bidi="ar"/>
                    </w:rPr>
                    <w:t xml:space="preserve">300米，激光距离：不低于100米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3、内置U盘，倒计时提醒，多系统支持海量软件</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支</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8"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音控台</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频响：+0.5dB/-0.5dB（20Hz-20kHz）</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总谐波失真：0.02%@+14dBu（20 Hz-20kHz）</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输入通道：10通道</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USB音频：USB音频2.0兼容 </w:t>
                  </w:r>
                </w:p>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采样率：最大192kHz</w:t>
                  </w:r>
                </w:p>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Bit深度：24-bit</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幻象电源电压：+48V</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内建数字效果：24编程</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台</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网络聚合系统</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6路多网聚合，5G*2，4G*4，全网通热拔插，双接口， SDI+HDMI SRT+RTMP推流协议，H265 H264最大单路40M推流，双重网管，本地+云平台，P2P功能，不大于500MS时延</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台</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控场电脑</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highlight w:val="none"/>
                      <w:u w:val="none"/>
                      <w:lang w:val="en-US" w:eastAsia="zh-CN" w:bidi="ar"/>
                    </w:rPr>
                    <w:t>CPU性能满足或优于酷睿 i7第11</w:t>
                  </w:r>
                  <w:bookmarkStart w:id="2" w:name="_GoBack"/>
                  <w:bookmarkEnd w:id="2"/>
                  <w:r>
                    <w:rPr>
                      <w:rFonts w:hint="eastAsia" w:ascii="宋体" w:hAnsi="宋体" w:eastAsia="宋体" w:cs="宋体"/>
                      <w:i w:val="0"/>
                      <w:iCs w:val="0"/>
                      <w:color w:val="000000"/>
                      <w:kern w:val="0"/>
                      <w:sz w:val="16"/>
                      <w:szCs w:val="16"/>
                      <w:highlight w:val="none"/>
                      <w:u w:val="none"/>
                      <w:lang w:val="en-US" w:eastAsia="zh-CN" w:bidi="ar"/>
                    </w:rPr>
                    <w:t>代</w:t>
                  </w:r>
                  <w:r>
                    <w:rPr>
                      <w:rFonts w:hint="eastAsia" w:ascii="宋体" w:hAnsi="宋体" w:eastAsia="宋体" w:cs="宋体"/>
                      <w:i w:val="0"/>
                      <w:iCs w:val="0"/>
                      <w:color w:val="000000"/>
                      <w:kern w:val="0"/>
                      <w:sz w:val="16"/>
                      <w:szCs w:val="16"/>
                      <w:highlight w:val="none"/>
                      <w:u w:val="none"/>
                      <w:lang w:val="en-US" w:eastAsia="zh-CN" w:bidi="ar"/>
                    </w:rPr>
                    <w:br w:type="textWrapping"/>
                  </w:r>
                  <w:r>
                    <w:rPr>
                      <w:rFonts w:hint="eastAsia" w:ascii="宋体" w:hAnsi="宋体" w:eastAsia="宋体" w:cs="宋体"/>
                      <w:i w:val="0"/>
                      <w:iCs w:val="0"/>
                      <w:color w:val="000000"/>
                      <w:kern w:val="0"/>
                      <w:sz w:val="16"/>
                      <w:szCs w:val="16"/>
                      <w:highlight w:val="none"/>
                      <w:u w:val="none"/>
                      <w:lang w:val="en-US" w:eastAsia="zh-CN" w:bidi="ar"/>
                    </w:rPr>
                    <w:t xml:space="preserve">固态硬盘容量：≥512GB </w:t>
                  </w:r>
                  <w:r>
                    <w:rPr>
                      <w:rFonts w:hint="eastAsia" w:ascii="宋体" w:hAnsi="宋体" w:eastAsia="宋体" w:cs="宋体"/>
                      <w:i w:val="0"/>
                      <w:iCs w:val="0"/>
                      <w:color w:val="000000"/>
                      <w:kern w:val="0"/>
                      <w:sz w:val="16"/>
                      <w:szCs w:val="16"/>
                      <w:highlight w:val="none"/>
                      <w:u w:val="none"/>
                      <w:lang w:val="en-US" w:eastAsia="zh-CN" w:bidi="ar"/>
                    </w:rPr>
                    <w:br w:type="textWrapping"/>
                  </w:r>
                  <w:r>
                    <w:rPr>
                      <w:rFonts w:hint="eastAsia" w:ascii="宋体" w:hAnsi="宋体" w:eastAsia="宋体" w:cs="宋体"/>
                      <w:i w:val="0"/>
                      <w:iCs w:val="0"/>
                      <w:color w:val="000000"/>
                      <w:kern w:val="0"/>
                      <w:sz w:val="16"/>
                      <w:szCs w:val="16"/>
                      <w:highlight w:val="none"/>
                      <w:u w:val="none"/>
                      <w:lang w:val="en-US" w:eastAsia="zh-CN" w:bidi="ar"/>
                    </w:rPr>
                    <w:t xml:space="preserve">内存容量：≥16GB </w:t>
                  </w:r>
                  <w:r>
                    <w:rPr>
                      <w:rFonts w:hint="eastAsia" w:ascii="宋体" w:hAnsi="宋体" w:eastAsia="宋体" w:cs="宋体"/>
                      <w:i w:val="0"/>
                      <w:iCs w:val="0"/>
                      <w:color w:val="000000"/>
                      <w:kern w:val="0"/>
                      <w:sz w:val="16"/>
                      <w:szCs w:val="16"/>
                      <w:highlight w:val="none"/>
                      <w:u w:val="none"/>
                      <w:lang w:val="en-US" w:eastAsia="zh-CN" w:bidi="ar"/>
                    </w:rPr>
                    <w:br w:type="textWrapping"/>
                  </w:r>
                  <w:r>
                    <w:rPr>
                      <w:rFonts w:hint="eastAsia" w:ascii="宋体" w:hAnsi="宋体" w:eastAsia="宋体" w:cs="宋体"/>
                      <w:i w:val="0"/>
                      <w:iCs w:val="0"/>
                      <w:color w:val="000000"/>
                      <w:kern w:val="0"/>
                      <w:sz w:val="16"/>
                      <w:szCs w:val="16"/>
                      <w:highlight w:val="none"/>
                      <w:u w:val="none"/>
                      <w:lang w:val="en-US" w:eastAsia="zh-CN" w:bidi="ar"/>
                    </w:rPr>
                    <w:t>屏幕分辨率：≥</w:t>
                  </w:r>
                  <w:r>
                    <w:rPr>
                      <w:rFonts w:hint="eastAsia" w:ascii="宋体" w:hAnsi="宋体" w:eastAsia="宋体" w:cs="宋体"/>
                      <w:i w:val="0"/>
                      <w:iCs w:val="0"/>
                      <w:color w:val="000000"/>
                      <w:kern w:val="0"/>
                      <w:sz w:val="16"/>
                      <w:szCs w:val="16"/>
                      <w:u w:val="none"/>
                      <w:lang w:val="en-US" w:eastAsia="zh-CN" w:bidi="ar"/>
                    </w:rPr>
                    <w:t xml:space="preserve">2560x1600像素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操作系统：Windows 11  64位</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台</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导播一体机</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4讯32路导播切换，4K超清直播+录播，视频规格为AVI、MP4</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台</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摄像机</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3CMOS1/3英寸4K+HD，双机位</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台</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相册直播</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摄影师</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要求摄影师配备全画幅2400万以上像素镜头16-35/24-70/70-200各1只，闪光灯备齐</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人</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会议相片</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要求场外场内多角度分工拍照，会议期间全程拍照，包含大合照等，相片单天不少于800张</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人</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修图审核</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要求照片即时上传，延时不超过10分钟；现场对相片进行适当调色，二次构图后经采购人审核后上传</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人</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网络相册现场直播</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提供主题网络相册，要求会前宣传，并提供即时下载等服务；要求现场主题相册提前暖场直播发布</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册</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16"/>
                      <w:szCs w:val="16"/>
                      <w:u w:val="none"/>
                    </w:rPr>
                  </w:pPr>
                </w:p>
              </w:tc>
            </w:tr>
          </w:tbl>
          <w:p>
            <w:pPr>
              <w:pStyle w:val="3"/>
            </w:pPr>
          </w:p>
        </w:tc>
        <w:tc>
          <w:tcPr>
            <w:tcW w:w="535" w:type="pct"/>
            <w:vAlign w:val="center"/>
          </w:tcPr>
          <w:p>
            <w:pPr>
              <w:rPr>
                <w:rFonts w:hAnsi="宋体"/>
                <w:szCs w:val="21"/>
              </w:rPr>
            </w:pPr>
            <w:r>
              <w:rPr>
                <w:rFonts w:hint="eastAsia" w:ascii="宋体" w:cs="Times New Roman"/>
              </w:rPr>
              <w:t>南宁中心血站-2023年东盟血液安全论坛会务、直播服务</w:t>
            </w:r>
          </w:p>
        </w:tc>
        <w:tc>
          <w:tcPr>
            <w:tcW w:w="990" w:type="pct"/>
            <w:vAlign w:val="center"/>
          </w:tcPr>
          <w:p>
            <w:pPr>
              <w:rPr>
                <w:rFonts w:hAnsi="宋体"/>
                <w:szCs w:val="21"/>
              </w:rPr>
            </w:pPr>
            <w:r>
              <w:rPr>
                <w:rFonts w:hint="eastAsia" w:asciiTheme="minorEastAsia" w:hAnsiTheme="minorEastAsia" w:cstheme="minorEastAsia"/>
                <w:color w:val="FF0000"/>
                <w:szCs w:val="21"/>
              </w:rPr>
              <w:t>请填入贵单位响应的内容。</w:t>
            </w:r>
          </w:p>
        </w:tc>
        <w:tc>
          <w:tcPr>
            <w:tcW w:w="332" w:type="pct"/>
            <w:vAlign w:val="center"/>
          </w:tcPr>
          <w:p>
            <w:pPr>
              <w:rPr>
                <w:rFonts w:ascii="宋体" w:hAnsi="宋体"/>
                <w:szCs w:val="21"/>
              </w:rPr>
            </w:pPr>
            <w:r>
              <w:rPr>
                <w:rFonts w:ascii="宋体" w:hAnsi="宋体"/>
                <w:szCs w:val="21"/>
              </w:rPr>
              <w:t>正偏离（负偏离或无偏离）</w:t>
            </w:r>
          </w:p>
        </w:tc>
      </w:tr>
    </w:tbl>
    <w:p>
      <w:pPr>
        <w:pStyle w:val="5"/>
        <w:rPr>
          <w:rFonts w:hAnsi="宋体"/>
          <w:szCs w:val="21"/>
        </w:rPr>
      </w:pPr>
    </w:p>
    <w:p>
      <w:pPr>
        <w:pStyle w:val="5"/>
        <w:rPr>
          <w:rFonts w:hAnsi="宋体"/>
          <w:szCs w:val="21"/>
        </w:rPr>
      </w:pPr>
    </w:p>
    <w:p>
      <w:pPr>
        <w:pStyle w:val="5"/>
        <w:spacing w:line="400" w:lineRule="exact"/>
        <w:rPr>
          <w:rFonts w:hAnsi="宋体"/>
          <w:szCs w:val="21"/>
        </w:rPr>
      </w:pPr>
      <w:r>
        <w:rPr>
          <w:rFonts w:hAnsi="宋体"/>
          <w:szCs w:val="21"/>
        </w:rPr>
        <w:t>注：⑴表格内容均需按要求填写并盖章，不得留空，</w:t>
      </w:r>
      <w:r>
        <w:rPr>
          <w:rFonts w:hAnsi="宋体"/>
          <w:bCs/>
          <w:szCs w:val="21"/>
        </w:rPr>
        <w:t>否则按无效</w:t>
      </w:r>
      <w:r>
        <w:rPr>
          <w:rFonts w:hint="eastAsia" w:hAnsi="宋体"/>
          <w:bCs/>
          <w:szCs w:val="21"/>
        </w:rPr>
        <w:t>响应</w:t>
      </w:r>
      <w:r>
        <w:rPr>
          <w:rFonts w:hAnsi="宋体"/>
          <w:bCs/>
          <w:szCs w:val="21"/>
        </w:rPr>
        <w:t>处理</w:t>
      </w:r>
      <w:r>
        <w:rPr>
          <w:rFonts w:hAnsi="宋体"/>
          <w:szCs w:val="21"/>
        </w:rPr>
        <w:t>。</w:t>
      </w:r>
    </w:p>
    <w:p>
      <w:pPr>
        <w:pStyle w:val="5"/>
        <w:spacing w:line="400" w:lineRule="exact"/>
        <w:ind w:left="689" w:leftChars="228" w:hanging="210" w:hangingChars="100"/>
        <w:rPr>
          <w:rFonts w:hAnsi="宋体"/>
          <w:sz w:val="24"/>
          <w:szCs w:val="24"/>
        </w:rPr>
      </w:pPr>
      <w:r>
        <w:rPr>
          <w:rFonts w:hAnsi="宋体"/>
          <w:bCs/>
          <w:szCs w:val="21"/>
        </w:rPr>
        <w:t>⑵当</w:t>
      </w:r>
      <w:r>
        <w:rPr>
          <w:rFonts w:hint="eastAsia" w:hAnsi="宋体"/>
          <w:bCs/>
          <w:szCs w:val="21"/>
        </w:rPr>
        <w:t>响应</w:t>
      </w:r>
      <w:r>
        <w:rPr>
          <w:rFonts w:hAnsi="宋体"/>
          <w:bCs/>
          <w:szCs w:val="21"/>
        </w:rPr>
        <w:t>文件的内容低于</w:t>
      </w:r>
      <w:r>
        <w:rPr>
          <w:rFonts w:hint="eastAsia" w:hAnsi="宋体"/>
          <w:bCs/>
          <w:szCs w:val="21"/>
        </w:rPr>
        <w:t>附件1“采购</w:t>
      </w:r>
      <w:r>
        <w:rPr>
          <w:rFonts w:hint="eastAsia" w:asciiTheme="minorEastAsia" w:hAnsiTheme="minorEastAsia"/>
          <w:szCs w:val="21"/>
        </w:rPr>
        <w:t>需求一览表”</w:t>
      </w:r>
      <w:r>
        <w:rPr>
          <w:rFonts w:hAnsi="宋体"/>
          <w:bCs/>
          <w:szCs w:val="21"/>
        </w:rPr>
        <w:t>要求时，</w:t>
      </w:r>
      <w:r>
        <w:rPr>
          <w:rFonts w:hint="eastAsia" w:hAnsi="宋体"/>
          <w:bCs/>
          <w:szCs w:val="21"/>
        </w:rPr>
        <w:t>供应商</w:t>
      </w:r>
      <w:r>
        <w:rPr>
          <w:rFonts w:hAnsi="宋体"/>
          <w:bCs/>
          <w:szCs w:val="21"/>
        </w:rPr>
        <w:t>应当如实写明“负偏离”，否则视为虚假</w:t>
      </w:r>
      <w:r>
        <w:rPr>
          <w:rFonts w:hint="eastAsia" w:hAnsi="宋体"/>
          <w:bCs/>
          <w:szCs w:val="21"/>
        </w:rPr>
        <w:t>响应</w:t>
      </w:r>
      <w:r>
        <w:rPr>
          <w:rFonts w:hAnsi="宋体"/>
          <w:bCs/>
          <w:szCs w:val="21"/>
        </w:rPr>
        <w:t>。</w:t>
      </w:r>
    </w:p>
    <w:p>
      <w:pPr>
        <w:pStyle w:val="5"/>
        <w:spacing w:line="400" w:lineRule="exact"/>
        <w:rPr>
          <w:rFonts w:hAnsi="宋体"/>
          <w:szCs w:val="21"/>
        </w:rPr>
      </w:pPr>
    </w:p>
    <w:p>
      <w:pPr>
        <w:pStyle w:val="5"/>
        <w:spacing w:line="400" w:lineRule="exact"/>
        <w:rPr>
          <w:rFonts w:hAnsi="宋体"/>
          <w:szCs w:val="21"/>
        </w:rPr>
      </w:pPr>
      <w:r>
        <w:rPr>
          <w:rFonts w:hint="eastAsia" w:hAnsi="宋体"/>
          <w:szCs w:val="21"/>
        </w:rPr>
        <w:t>供应商（盖单位公章）：</w:t>
      </w:r>
    </w:p>
    <w:p>
      <w:pPr>
        <w:pStyle w:val="4"/>
        <w:numPr>
          <w:ilvl w:val="3"/>
          <w:numId w:val="0"/>
        </w:numPr>
        <w:ind w:left="1077"/>
      </w:pPr>
    </w:p>
    <w:p>
      <w:pPr>
        <w:pStyle w:val="5"/>
        <w:spacing w:line="400" w:lineRule="exact"/>
        <w:rPr>
          <w:rFonts w:hAnsi="宋体"/>
          <w:szCs w:val="21"/>
        </w:rPr>
      </w:pPr>
      <w:bookmarkStart w:id="0" w:name="_Toc521096352"/>
      <w:bookmarkStart w:id="1" w:name="_Toc460253713"/>
      <w:r>
        <w:rPr>
          <w:rFonts w:hint="eastAsia" w:hAnsi="宋体"/>
          <w:szCs w:val="21"/>
        </w:rPr>
        <w:t>法定代表人或其被授权委托人（签字或盖章）：</w:t>
      </w:r>
      <w:bookmarkEnd w:id="0"/>
      <w:bookmarkEnd w:id="1"/>
    </w:p>
    <w:p>
      <w:pPr>
        <w:pStyle w:val="2"/>
        <w:ind w:firstLine="210"/>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1E307624"/>
    <w:rsid w:val="1D3B0488"/>
    <w:rsid w:val="1E3076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unhideWhenUsed/>
    <w:qFormat/>
    <w:uiPriority w:val="0"/>
    <w:pPr>
      <w:spacing w:after="120"/>
    </w:pPr>
    <w:rPr>
      <w:rFonts w:ascii="Times New Roman" w:hAnsi="Times New Roman"/>
    </w:rPr>
  </w:style>
  <w:style w:type="paragraph" w:styleId="5">
    <w:name w:val="Plain Text"/>
    <w:basedOn w:val="1"/>
    <w:next w:val="4"/>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2023-10-12T09:03:00Z</dcterms:created>
  <dc:creator>WPS</dc:creator>
  <cp:lastModifiedBy>WPS</cp:lastModifiedBy>
  <dcterms:modified xsi:type="dcterms:W3CDTF">2023-10-12T09:11:53Z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2052-12.1.0.15398</vt:lpwstr>
  </property>
  <property fmtid="{D5CDD505-2E9C-101B-9397-08002B2CF9AE}" pid="3" name="ICV">
    <vt:lpwstr>F668250A6D12427FAA5B030E36A882C7_11</vt:lpwstr>
  </property>
</Properties>
</file>