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</w:p>
    <w:p>
      <w:pPr>
        <w:pStyle w:val="5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tbl>
      <w:tblPr>
        <w:tblStyle w:val="7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155"/>
        <w:gridCol w:w="765"/>
        <w:gridCol w:w="1244"/>
        <w:gridCol w:w="1478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30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3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7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7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exact"/>
          <w:jc w:val="center"/>
        </w:trPr>
        <w:tc>
          <w:tcPr>
            <w:tcW w:w="430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4"/>
              </w:rPr>
            </w:pPr>
            <w:r>
              <w:rPr>
                <w:rFonts w:hint="eastAsia" w:ascii="Arial" w:hAnsi="Arial" w:cs="Arial"/>
                <w:color w:val="000000"/>
                <w:sz w:val="24"/>
              </w:rPr>
              <w:t>南宁中心血站-2023年东盟血液安全论坛会务、直播服务</w:t>
            </w: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77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说明：单项合价金额不能超过最高限价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68880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5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ED8160F"/>
    <w:rsid w:val="5ED8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2023-10-12T09:04:00Z</dcterms:created>
  <dc:creator>WPS</dc:creator>
  <cp:lastModifiedBy>WPS</cp:lastModifiedBy>
  <dcterms:modified xsi:type="dcterms:W3CDTF">2023-10-12T09:04:42Z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2406B24C7E734B978DC4F2DF5F6802D4_11</vt:lpwstr>
  </property>
</Properties>
</file>