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附件3：</w:t>
      </w:r>
    </w:p>
    <w:p>
      <w:pPr>
        <w:pStyle w:val="5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r>
        <w:rPr>
          <w:rFonts w:hint="eastAsia" w:hAnsi="宋体"/>
          <w:b/>
          <w:bCs/>
          <w:sz w:val="30"/>
          <w:szCs w:val="30"/>
        </w:rPr>
        <w:t>响应技术资料表</w:t>
      </w:r>
      <w:bookmarkStart w:id="2" w:name="_GoBack"/>
      <w:bookmarkEnd w:id="2"/>
    </w:p>
    <w:p>
      <w:pPr>
        <w:pStyle w:val="5"/>
        <w:spacing w:line="44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hint="eastAsia" w:asciiTheme="minorEastAsia" w:hAnsiTheme="minorEastAsia"/>
          <w:szCs w:val="21"/>
        </w:rPr>
        <w:t>。“偏离说明”一栏选择“正偏离”、“负偏离”或“无偏离”进行填写。</w:t>
      </w:r>
    </w:p>
    <w:p>
      <w:pPr>
        <w:pStyle w:val="5"/>
        <w:rPr>
          <w:rFonts w:hAnsi="宋体"/>
          <w:szCs w:val="21"/>
        </w:rPr>
      </w:pPr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777"/>
        <w:gridCol w:w="3572"/>
        <w:gridCol w:w="724"/>
        <w:gridCol w:w="2240"/>
        <w:gridCol w:w="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303" w:type="pct"/>
            <w:vMerge w:val="restart"/>
            <w:vAlign w:val="center"/>
          </w:tcPr>
          <w:p>
            <w:pPr>
              <w:pStyle w:val="5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int="eastAsia" w:hAnsi="宋体"/>
                <w:spacing w:val="-20"/>
                <w:szCs w:val="21"/>
              </w:rPr>
              <w:t>序号</w:t>
            </w:r>
          </w:p>
        </w:tc>
        <w:tc>
          <w:tcPr>
            <w:tcW w:w="2551" w:type="pct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采购文件需求</w:t>
            </w:r>
          </w:p>
        </w:tc>
        <w:tc>
          <w:tcPr>
            <w:tcW w:w="1739" w:type="pct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响应文件承诺</w:t>
            </w:r>
          </w:p>
        </w:tc>
        <w:tc>
          <w:tcPr>
            <w:tcW w:w="407" w:type="pct"/>
            <w:vMerge w:val="restar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303" w:type="pct"/>
            <w:vMerge w:val="continue"/>
            <w:vAlign w:val="center"/>
          </w:tcPr>
          <w:p>
            <w:pPr>
              <w:pStyle w:val="5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456" w:type="pc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货物名称</w:t>
            </w:r>
          </w:p>
        </w:tc>
        <w:tc>
          <w:tcPr>
            <w:tcW w:w="2096" w:type="pc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采购内容及要求</w:t>
            </w:r>
          </w:p>
        </w:tc>
        <w:tc>
          <w:tcPr>
            <w:tcW w:w="425" w:type="pc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货物名称</w:t>
            </w:r>
          </w:p>
        </w:tc>
        <w:tc>
          <w:tcPr>
            <w:tcW w:w="1314" w:type="pc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响应的内容及要求</w:t>
            </w:r>
          </w:p>
        </w:tc>
        <w:tc>
          <w:tcPr>
            <w:tcW w:w="407" w:type="pct"/>
            <w:vMerge w:val="continue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3" w:type="pct"/>
            <w:vAlign w:val="center"/>
          </w:tcPr>
          <w:p>
            <w:pPr>
              <w:pStyle w:val="5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/>
                <w:spacing w:val="-20"/>
                <w:szCs w:val="21"/>
              </w:rPr>
              <w:t>1</w:t>
            </w:r>
          </w:p>
        </w:tc>
        <w:tc>
          <w:tcPr>
            <w:tcW w:w="456" w:type="pct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血液冷链监控管理系统温度探头</w:t>
            </w:r>
          </w:p>
        </w:tc>
        <w:tc>
          <w:tcPr>
            <w:tcW w:w="2096" w:type="pct"/>
            <w:vAlign w:val="center"/>
          </w:tcPr>
          <w:p>
            <w:pPr>
              <w:pStyle w:val="5"/>
              <w:spacing w:line="400" w:lineRule="exac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1、</w:t>
            </w:r>
            <w:r>
              <w:rPr>
                <w:rFonts w:hint="eastAsia"/>
              </w:rPr>
              <w:t>用于保温箱温湿度监测，投放式，便携性强，含温度、湿度、光照、加速度、陀螺仪(加速度) 等传感器</w:t>
            </w:r>
          </w:p>
          <w:p>
            <w:pPr>
              <w:pStyle w:val="5"/>
              <w:spacing w:line="400" w:lineRule="exac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2、量程（设备能监测到的最低温度、最高温度的区间）</w:t>
            </w:r>
            <w:r>
              <w:rPr>
                <w:rFonts w:hint="eastAsia"/>
              </w:rPr>
              <w:t>:- 40℃~60℃(精度温度:±0.5℃ )</w:t>
            </w:r>
          </w:p>
          <w:p>
            <w:pPr>
              <w:pStyle w:val="5"/>
              <w:spacing w:line="400" w:lineRule="exac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3、</w:t>
            </w:r>
            <w:r>
              <w:rPr>
                <w:rFonts w:hint="eastAsia"/>
              </w:rPr>
              <w:t>湿度:0~100%RH(精度 3 %RH)</w:t>
            </w:r>
          </w:p>
          <w:p>
            <w:pPr>
              <w:pStyle w:val="5"/>
              <w:spacing w:line="400" w:lineRule="exac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4、</w:t>
            </w:r>
            <w:r>
              <w:rPr>
                <w:rFonts w:hint="eastAsia"/>
              </w:rPr>
              <w:t>光照:0~65535</w:t>
            </w:r>
            <w:r>
              <w:rPr>
                <w:rFonts w:hint="eastAsia"/>
                <w:lang w:val="en-US" w:eastAsia="zh-CN"/>
              </w:rPr>
              <w:t xml:space="preserve"> l</w:t>
            </w:r>
            <w:r>
              <w:rPr>
                <w:rFonts w:hint="eastAsia"/>
              </w:rPr>
              <w:t>x(精度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分辨率1 lx)</w:t>
            </w:r>
          </w:p>
          <w:p>
            <w:pPr>
              <w:pStyle w:val="5"/>
              <w:spacing w:line="400" w:lineRule="exac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5、</w:t>
            </w:r>
            <w:r>
              <w:rPr>
                <w:rFonts w:hint="eastAsia"/>
              </w:rPr>
              <w:t>加速度：±2/4/8/16g</w:t>
            </w:r>
          </w:p>
          <w:p>
            <w:pPr>
              <w:pStyle w:val="5"/>
              <w:spacing w:line="400" w:lineRule="exac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6、</w:t>
            </w:r>
            <w:r>
              <w:rPr>
                <w:rFonts w:hint="eastAsia"/>
              </w:rPr>
              <w:t>陀螺仪(倾斜度): ±250/500/1000/2000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°/s</w:t>
            </w:r>
          </w:p>
          <w:p>
            <w:pPr>
              <w:pStyle w:val="5"/>
              <w:spacing w:line="400" w:lineRule="exac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7、</w:t>
            </w:r>
            <w:r>
              <w:rPr>
                <w:rFonts w:hint="eastAsia"/>
              </w:rPr>
              <w:t>存储容量: 可存储36000条数据</w:t>
            </w:r>
          </w:p>
          <w:p>
            <w:pPr>
              <w:pStyle w:val="5"/>
              <w:spacing w:line="400" w:lineRule="exac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8、</w:t>
            </w:r>
            <w:r>
              <w:rPr>
                <w:rFonts w:hint="eastAsia"/>
              </w:rPr>
              <w:t>通讯方式:4G(国内频段)</w:t>
            </w:r>
          </w:p>
          <w:p>
            <w:pPr>
              <w:pStyle w:val="5"/>
              <w:spacing w:line="400" w:lineRule="exac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9、</w:t>
            </w:r>
            <w:r>
              <w:rPr>
                <w:rFonts w:hint="eastAsia"/>
              </w:rPr>
              <w:t>打印功能:连接蓝牙打印机打印温湿度数据</w:t>
            </w:r>
          </w:p>
          <w:p>
            <w:pPr>
              <w:pStyle w:val="5"/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>▲</w:t>
            </w:r>
            <w:r>
              <w:rPr>
                <w:rFonts w:hint="eastAsia"/>
                <w:lang w:val="en-US" w:eastAsia="zh-CN"/>
              </w:rPr>
              <w:t>10、</w:t>
            </w:r>
            <w:r>
              <w:rPr>
                <w:rFonts w:hint="eastAsia"/>
              </w:rPr>
              <w:t>飞行模式:多段设置飞行模式，定时进出</w:t>
            </w:r>
          </w:p>
          <w:p>
            <w:pPr>
              <w:pStyle w:val="5"/>
              <w:spacing w:line="400" w:lineRule="exac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11、</w:t>
            </w:r>
            <w:r>
              <w:rPr>
                <w:rFonts w:hint="eastAsia"/>
              </w:rPr>
              <w:t>电池电源:3.7v，≥3500mAh</w:t>
            </w:r>
          </w:p>
          <w:p>
            <w:pPr>
              <w:pStyle w:val="5"/>
              <w:spacing w:line="400" w:lineRule="exac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12、</w:t>
            </w:r>
            <w:r>
              <w:rPr>
                <w:rFonts w:hint="eastAsia"/>
              </w:rPr>
              <w:t>具有有线充电接口，且支持无线充电即可以通过无线充电板进行无线充电</w:t>
            </w:r>
          </w:p>
          <w:p>
            <w:pPr>
              <w:pStyle w:val="5"/>
              <w:spacing w:line="400" w:lineRule="exac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13、</w:t>
            </w:r>
            <w:r>
              <w:rPr>
                <w:rFonts w:hint="eastAsia"/>
              </w:rPr>
              <w:t>产品尺寸:≤122.0</w:t>
            </w:r>
            <w:r>
              <w:rPr>
                <w:rFonts w:hint="eastAsia"/>
                <w:lang w:val="en-US" w:eastAsia="zh-CN"/>
              </w:rPr>
              <w:t>*</w:t>
            </w:r>
            <w:r>
              <w:rPr>
                <w:rFonts w:hint="eastAsia"/>
              </w:rPr>
              <w:t>69.5</w:t>
            </w:r>
            <w:r>
              <w:rPr>
                <w:rFonts w:hint="eastAsia"/>
                <w:lang w:val="en-US" w:eastAsia="zh-CN"/>
              </w:rPr>
              <w:t>*</w:t>
            </w:r>
            <w:r>
              <w:rPr>
                <w:rFonts w:hint="eastAsia"/>
              </w:rPr>
              <w:t>22.0mm (±0.2mm )</w:t>
            </w:r>
          </w:p>
          <w:p>
            <w:pPr>
              <w:pStyle w:val="5"/>
              <w:spacing w:line="400" w:lineRule="exac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14、</w:t>
            </w:r>
            <w:r>
              <w:rPr>
                <w:rFonts w:hint="eastAsia"/>
              </w:rPr>
              <w:t>工作环境:-20℃~60℃</w:t>
            </w:r>
          </w:p>
          <w:p>
            <w:pPr>
              <w:pStyle w:val="5"/>
              <w:spacing w:line="400" w:lineRule="exac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15、</w:t>
            </w:r>
            <w:r>
              <w:rPr>
                <w:rFonts w:hint="eastAsia"/>
              </w:rPr>
              <w:t>内置SIM卡及天线</w:t>
            </w:r>
          </w:p>
          <w:p>
            <w:pPr>
              <w:pStyle w:val="5"/>
              <w:spacing w:line="400" w:lineRule="exac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16、</w:t>
            </w:r>
            <w:r>
              <w:rPr>
                <w:rFonts w:hint="eastAsia"/>
              </w:rPr>
              <w:t>支持振动监测、开箱监测、加速度监测</w:t>
            </w:r>
          </w:p>
          <w:p>
            <w:pPr>
              <w:pStyle w:val="5"/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>▲</w:t>
            </w:r>
            <w:r>
              <w:rPr>
                <w:rFonts w:hint="eastAsia"/>
                <w:lang w:val="en-US" w:eastAsia="zh-CN"/>
              </w:rPr>
              <w:t>17、</w:t>
            </w:r>
            <w:r>
              <w:rPr>
                <w:rFonts w:hint="eastAsia"/>
              </w:rPr>
              <w:t>支持飞行模式离线监测</w:t>
            </w:r>
          </w:p>
          <w:p>
            <w:pPr>
              <w:pStyle w:val="5"/>
              <w:spacing w:line="400" w:lineRule="exac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18、</w:t>
            </w:r>
            <w:r>
              <w:rPr>
                <w:rFonts w:hint="eastAsia"/>
              </w:rPr>
              <w:t>支持蓝牙无线打印</w:t>
            </w:r>
          </w:p>
          <w:p>
            <w:pPr>
              <w:pStyle w:val="5"/>
              <w:spacing w:line="400" w:lineRule="exac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19、</w:t>
            </w:r>
            <w:r>
              <w:rPr>
                <w:rFonts w:hint="eastAsia"/>
              </w:rPr>
              <w:t>4G 全网通，带高精度定位</w:t>
            </w:r>
          </w:p>
          <w:p>
            <w:pPr>
              <w:pStyle w:val="5"/>
              <w:spacing w:line="400" w:lineRule="exac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20、</w:t>
            </w:r>
            <w:r>
              <w:rPr>
                <w:rFonts w:hint="eastAsia"/>
              </w:rPr>
              <w:t>运输路径全过程追溯</w:t>
            </w:r>
          </w:p>
          <w:p>
            <w:pPr>
              <w:pStyle w:val="5"/>
              <w:spacing w:line="400" w:lineRule="exac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21、</w:t>
            </w:r>
            <w:r>
              <w:rPr>
                <w:rFonts w:hint="eastAsia"/>
              </w:rPr>
              <w:t>体积小巧、</w:t>
            </w:r>
            <w:r>
              <w:rPr>
                <w:rFonts w:hint="eastAsia"/>
                <w:lang w:val="en-US" w:eastAsia="zh-CN"/>
              </w:rPr>
              <w:t>电池</w:t>
            </w:r>
            <w:r>
              <w:rPr>
                <w:rFonts w:hint="eastAsia"/>
              </w:rPr>
              <w:t>续航</w:t>
            </w:r>
            <w:r>
              <w:rPr>
                <w:rFonts w:hint="eastAsia"/>
                <w:lang w:val="en-US" w:eastAsia="zh-CN"/>
              </w:rPr>
              <w:t>至少</w:t>
            </w:r>
            <w:r>
              <w:rPr>
                <w:rFonts w:hint="eastAsia"/>
              </w:rPr>
              <w:t xml:space="preserve"> 15天 </w:t>
            </w:r>
          </w:p>
          <w:p>
            <w:pPr>
              <w:pStyle w:val="5"/>
              <w:spacing w:line="400" w:lineRule="exac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22、</w:t>
            </w:r>
            <w:r>
              <w:rPr>
                <w:rFonts w:hint="eastAsia"/>
              </w:rPr>
              <w:t>无线充电、远程升级</w:t>
            </w:r>
          </w:p>
          <w:p>
            <w:pPr>
              <w:pStyle w:val="3"/>
            </w:pPr>
            <w:r>
              <w:rPr>
                <w:rFonts w:hint="eastAsia"/>
              </w:rPr>
              <w:t>▲</w:t>
            </w:r>
            <w:r>
              <w:rPr>
                <w:rFonts w:hint="eastAsia"/>
                <w:lang w:val="en-US" w:eastAsia="zh-CN"/>
              </w:rPr>
              <w:t>23、</w:t>
            </w:r>
            <w:r>
              <w:rPr>
                <w:rFonts w:hint="eastAsia"/>
              </w:rPr>
              <w:t xml:space="preserve">IP67防护等级 </w:t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>▲</w:t>
            </w:r>
            <w:r>
              <w:rPr>
                <w:rFonts w:hint="eastAsia"/>
                <w:lang w:val="en-US" w:eastAsia="zh-CN"/>
              </w:rPr>
              <w:t>24、产品应能与现采购方使用的血液冷链监控管理系统相适配，数据能上传到该系统并正常显示。</w:t>
            </w:r>
          </w:p>
        </w:tc>
        <w:tc>
          <w:tcPr>
            <w:tcW w:w="425" w:type="pct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血液冷链监控管理系统温度探头</w:t>
            </w:r>
          </w:p>
        </w:tc>
        <w:tc>
          <w:tcPr>
            <w:tcW w:w="1314" w:type="pct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407" w:type="pct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正偏离（负偏离或无偏离）</w:t>
            </w:r>
          </w:p>
        </w:tc>
      </w:tr>
    </w:tbl>
    <w:p>
      <w:pPr>
        <w:pStyle w:val="5"/>
        <w:rPr>
          <w:rFonts w:hAnsi="宋体"/>
          <w:szCs w:val="21"/>
        </w:rPr>
      </w:pPr>
    </w:p>
    <w:p>
      <w:pPr>
        <w:pStyle w:val="5"/>
        <w:rPr>
          <w:rFonts w:hAnsi="宋体"/>
          <w:szCs w:val="21"/>
        </w:rPr>
      </w:pPr>
    </w:p>
    <w:p>
      <w:pPr>
        <w:pStyle w:val="5"/>
        <w:spacing w:line="400" w:lineRule="exact"/>
        <w:rPr>
          <w:rFonts w:hAnsi="宋体"/>
          <w:szCs w:val="21"/>
        </w:rPr>
      </w:pPr>
      <w:r>
        <w:rPr>
          <w:rFonts w:hAnsi="宋体"/>
          <w:szCs w:val="21"/>
        </w:rPr>
        <w:t>注：⑴表格内容均需按要求填写并盖章，不得留空，</w:t>
      </w:r>
      <w:r>
        <w:rPr>
          <w:rFonts w:hAnsi="宋体"/>
          <w:bCs/>
          <w:szCs w:val="21"/>
        </w:rPr>
        <w:t>否则按无效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处理</w:t>
      </w:r>
      <w:r>
        <w:rPr>
          <w:rFonts w:hAnsi="宋体"/>
          <w:szCs w:val="21"/>
        </w:rPr>
        <w:t>。</w:t>
      </w:r>
    </w:p>
    <w:p>
      <w:pPr>
        <w:pStyle w:val="5"/>
        <w:spacing w:line="400" w:lineRule="exact"/>
        <w:ind w:left="689" w:leftChars="228" w:hanging="210" w:hangingChars="100"/>
        <w:rPr>
          <w:rFonts w:hAnsi="宋体"/>
          <w:sz w:val="24"/>
          <w:szCs w:val="24"/>
        </w:rPr>
      </w:pPr>
      <w:r>
        <w:rPr>
          <w:rFonts w:hAnsi="宋体"/>
          <w:bCs/>
          <w:szCs w:val="21"/>
        </w:rPr>
        <w:t>⑵当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文件的内容低于</w:t>
      </w:r>
      <w:r>
        <w:rPr>
          <w:rFonts w:hint="eastAsia" w:hAnsi="宋体"/>
          <w:bCs/>
          <w:szCs w:val="21"/>
        </w:rPr>
        <w:t>附件1“采购</w:t>
      </w:r>
      <w:r>
        <w:rPr>
          <w:rFonts w:hint="eastAsia" w:asciiTheme="minorEastAsia" w:hAnsiTheme="minorEastAsia"/>
          <w:szCs w:val="21"/>
        </w:rPr>
        <w:t>需求一览表”</w:t>
      </w:r>
      <w:r>
        <w:rPr>
          <w:rFonts w:hAnsi="宋体"/>
          <w:bCs/>
          <w:szCs w:val="21"/>
        </w:rPr>
        <w:t>要求时，</w:t>
      </w:r>
      <w:r>
        <w:rPr>
          <w:rFonts w:hint="eastAsia" w:hAnsi="宋体"/>
          <w:bCs/>
          <w:szCs w:val="21"/>
        </w:rPr>
        <w:t>供应商</w:t>
      </w:r>
      <w:r>
        <w:rPr>
          <w:rFonts w:hAnsi="宋体"/>
          <w:bCs/>
          <w:szCs w:val="21"/>
        </w:rPr>
        <w:t>应当如实写明“负偏离”，否则视为虚假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。</w:t>
      </w:r>
    </w:p>
    <w:p>
      <w:pPr>
        <w:pStyle w:val="5"/>
        <w:spacing w:line="400" w:lineRule="exact"/>
        <w:rPr>
          <w:rFonts w:hAnsi="宋体"/>
          <w:szCs w:val="21"/>
        </w:rPr>
      </w:pPr>
    </w:p>
    <w:p>
      <w:pPr>
        <w:pStyle w:val="5"/>
        <w:spacing w:line="400" w:lineRule="exact"/>
        <w:rPr>
          <w:rFonts w:hAnsi="宋体"/>
          <w:szCs w:val="21"/>
        </w:rPr>
      </w:pPr>
      <w:r>
        <w:rPr>
          <w:rFonts w:hint="eastAsia" w:hAnsi="宋体"/>
          <w:szCs w:val="21"/>
        </w:rPr>
        <w:t>供应商（盖单位公章）：</w:t>
      </w:r>
    </w:p>
    <w:p>
      <w:pPr>
        <w:pStyle w:val="5"/>
        <w:spacing w:line="400" w:lineRule="exact"/>
        <w:rPr>
          <w:rFonts w:hAnsi="宋体"/>
          <w:szCs w:val="21"/>
        </w:rPr>
      </w:pPr>
      <w:bookmarkStart w:id="0" w:name="_Toc460253713"/>
      <w:bookmarkStart w:id="1" w:name="_Toc521096352"/>
      <w:r>
        <w:rPr>
          <w:rFonts w:hint="eastAsia" w:hAnsi="宋体"/>
          <w:szCs w:val="21"/>
        </w:rPr>
        <w:t>法定代表人或其被授权委托人（签字或盖章）：</w:t>
      </w:r>
      <w:bookmarkEnd w:id="0"/>
      <w:bookmarkEnd w:id="1"/>
    </w:p>
    <w:p>
      <w:pPr>
        <w:pStyle w:val="5"/>
        <w:jc w:val="left"/>
        <w:rPr>
          <w:rFonts w:hAnsi="宋体" w:eastAsia="宋体" w:cs="宋体"/>
          <w:bCs/>
          <w:sz w:val="28"/>
          <w:szCs w:val="28"/>
        </w:rPr>
      </w:pPr>
    </w:p>
    <w:p>
      <w:pPr>
        <w:pStyle w:val="5"/>
        <w:jc w:val="left"/>
        <w:rPr>
          <w:rFonts w:hAnsi="宋体" w:eastAsia="宋体" w:cs="宋体"/>
          <w:bCs/>
          <w:sz w:val="28"/>
          <w:szCs w:val="28"/>
        </w:rPr>
      </w:pPr>
    </w:p>
    <w:p>
      <w:pPr>
        <w:pStyle w:val="5"/>
        <w:jc w:val="left"/>
        <w:rPr>
          <w:rFonts w:hAnsi="宋体" w:eastAsia="宋体" w:cs="宋体"/>
          <w:bCs/>
          <w:sz w:val="28"/>
          <w:szCs w:val="28"/>
        </w:rPr>
      </w:pPr>
    </w:p>
    <w:p>
      <w:pPr>
        <w:pStyle w:val="5"/>
        <w:jc w:val="left"/>
        <w:rPr>
          <w:rFonts w:hAnsi="宋体" w:eastAsia="宋体" w:cs="宋体"/>
          <w:bCs/>
          <w:sz w:val="28"/>
          <w:szCs w:val="28"/>
        </w:rPr>
      </w:pPr>
    </w:p>
    <w:p>
      <w:pPr>
        <w:pStyle w:val="5"/>
        <w:jc w:val="left"/>
        <w:rPr>
          <w:rFonts w:hAnsi="宋体" w:eastAsia="宋体" w:cs="宋体"/>
          <w:bCs/>
          <w:sz w:val="28"/>
          <w:szCs w:val="28"/>
        </w:rPr>
      </w:pPr>
    </w:p>
    <w:p>
      <w:pPr>
        <w:pStyle w:val="5"/>
        <w:jc w:val="left"/>
        <w:rPr>
          <w:rFonts w:hAnsi="宋体" w:eastAsia="宋体" w:cs="宋体"/>
          <w:bCs/>
          <w:sz w:val="28"/>
          <w:szCs w:val="28"/>
        </w:rPr>
      </w:pPr>
    </w:p>
    <w:p>
      <w:pPr>
        <w:pStyle w:val="5"/>
        <w:jc w:val="left"/>
        <w:rPr>
          <w:rFonts w:hAnsi="宋体" w:eastAsia="宋体" w:cs="宋体"/>
          <w:bCs/>
          <w:sz w:val="28"/>
          <w:szCs w:val="28"/>
        </w:rPr>
      </w:pPr>
    </w:p>
    <w:p>
      <w:pPr>
        <w:pStyle w:val="5"/>
        <w:jc w:val="left"/>
        <w:rPr>
          <w:rFonts w:hAnsi="宋体" w:eastAsia="宋体" w:cs="宋体"/>
          <w:bCs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08E35F25"/>
    <w:rsid w:val="08E35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unhideWhenUsed/>
    <w:qFormat/>
    <w:uiPriority w:val="99"/>
    <w:pPr>
      <w:spacing w:after="120"/>
    </w:pPr>
    <w:rPr>
      <w:rFonts w:ascii="Times New Roman" w:hAnsi="Times New Roman"/>
    </w:rPr>
  </w:style>
  <w:style w:type="paragraph" w:styleId="5">
    <w:name w:val="Plain Text"/>
    <w:basedOn w:val="1"/>
    <w:next w:val="4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2023-10-20T10:02:00Z</dcterms:created>
  <dc:creator>WPS</dc:creator>
  <cp:lastModifiedBy>WPS</cp:lastModifiedBy>
  <dcterms:modified xsi:type="dcterms:W3CDTF">2023-10-20T10:02:23Z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84B80A7E188146E0AC811CF08A28982E_11</vt:lpwstr>
  </property>
</Properties>
</file>