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5"/>
        <w:jc w:val="left"/>
        <w:rPr>
          <w:rFonts w:hAnsi="宋体" w:eastAsia="宋体" w:cs="宋体"/>
          <w:bCs/>
          <w:sz w:val="28"/>
          <w:szCs w:val="28"/>
        </w:rPr>
      </w:pPr>
      <w:r>
        <w:rPr>
          <w:rFonts w:hint="eastAsia" w:hAnsi="宋体" w:eastAsia="宋体" w:cs="宋体"/>
          <w:bCs/>
          <w:sz w:val="28"/>
          <w:szCs w:val="28"/>
        </w:rPr>
        <w:t>附件4：</w:t>
      </w:r>
    </w:p>
    <w:p>
      <w:pPr>
        <w:pStyle w:val="5"/>
        <w:spacing w:line="500" w:lineRule="exact"/>
        <w:jc w:val="center"/>
        <w:rPr>
          <w:rFonts w:ascii="Times New Roman" w:hAnsi="Times New Roman"/>
          <w:b/>
          <w:sz w:val="30"/>
          <w:szCs w:val="30"/>
        </w:rPr>
      </w:pPr>
      <w:bookmarkStart w:id="0" w:name="_GoBack"/>
      <w:r>
        <w:rPr>
          <w:rFonts w:hint="eastAsia" w:ascii="Times New Roman" w:hAnsi="Times New Roman"/>
          <w:b/>
          <w:sz w:val="30"/>
          <w:szCs w:val="30"/>
        </w:rPr>
        <w:t>商务条款偏离表</w:t>
      </w:r>
    </w:p>
    <w:bookmarkEnd w:id="0"/>
    <w:p>
      <w:pPr>
        <w:pStyle w:val="5"/>
        <w:spacing w:line="400" w:lineRule="exact"/>
        <w:rPr>
          <w:rFonts w:ascii="Times New Roman" w:hAnsi="Times New Roman"/>
          <w:sz w:val="22"/>
          <w:szCs w:val="22"/>
          <w:u w:val="single"/>
        </w:rPr>
      </w:pPr>
    </w:p>
    <w:p>
      <w:pPr>
        <w:pStyle w:val="5"/>
        <w:ind w:firstLine="420" w:firstLineChars="200"/>
        <w:rPr>
          <w:szCs w:val="21"/>
        </w:rPr>
      </w:pPr>
      <w:r>
        <w:rPr>
          <w:rFonts w:hint="eastAsia"/>
          <w:szCs w:val="21"/>
        </w:rPr>
        <w:t>请逐条对应本采购项目采购需求一览表中“商务条款”的要求，详细填写相应的具体内容。“偏离说明”一栏应当选择“正偏离”、“负偏离”或“无偏离”进行填写。</w:t>
      </w:r>
    </w:p>
    <w:p>
      <w:pPr>
        <w:pStyle w:val="5"/>
        <w:rPr>
          <w:szCs w:val="21"/>
          <w:u w:val="single"/>
        </w:rPr>
      </w:pPr>
    </w:p>
    <w:tbl>
      <w:tblPr>
        <w:tblStyle w:val="6"/>
        <w:tblpPr w:leftFromText="180" w:rightFromText="180" w:vertAnchor="text" w:horzAnchor="margin" w:tblpXSpec="center" w:tblpY="94"/>
        <w:tblW w:w="930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91"/>
        <w:gridCol w:w="3676"/>
        <w:gridCol w:w="3319"/>
        <w:gridCol w:w="162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1" w:hRule="atLeast"/>
          <w:jc w:val="center"/>
        </w:trPr>
        <w:tc>
          <w:tcPr>
            <w:tcW w:w="691" w:type="dxa"/>
            <w:tcBorders>
              <w:top w:val="single" w:color="auto" w:sz="4" w:space="0"/>
              <w:left w:val="single" w:color="auto" w:sz="4" w:space="0"/>
              <w:bottom w:val="single" w:color="auto" w:sz="4" w:space="0"/>
              <w:right w:val="single" w:color="auto" w:sz="4" w:space="0"/>
            </w:tcBorders>
            <w:vAlign w:val="center"/>
          </w:tcPr>
          <w:p>
            <w:pPr>
              <w:pStyle w:val="5"/>
              <w:jc w:val="center"/>
              <w:rPr>
                <w:szCs w:val="21"/>
              </w:rPr>
            </w:pPr>
            <w:r>
              <w:rPr>
                <w:szCs w:val="21"/>
              </w:rPr>
              <w:t>项号</w:t>
            </w:r>
          </w:p>
        </w:tc>
        <w:tc>
          <w:tcPr>
            <w:tcW w:w="3676" w:type="dxa"/>
            <w:tcBorders>
              <w:top w:val="single" w:color="auto" w:sz="4" w:space="0"/>
              <w:left w:val="single" w:color="auto" w:sz="4" w:space="0"/>
              <w:bottom w:val="single" w:color="auto" w:sz="4" w:space="0"/>
              <w:right w:val="single" w:color="auto" w:sz="4" w:space="0"/>
            </w:tcBorders>
            <w:vAlign w:val="center"/>
          </w:tcPr>
          <w:p>
            <w:pPr>
              <w:pStyle w:val="5"/>
              <w:jc w:val="center"/>
              <w:rPr>
                <w:szCs w:val="21"/>
              </w:rPr>
            </w:pPr>
            <w:r>
              <w:rPr>
                <w:rFonts w:hint="eastAsia"/>
                <w:szCs w:val="21"/>
              </w:rPr>
              <w:t>采购</w:t>
            </w:r>
            <w:r>
              <w:rPr>
                <w:szCs w:val="21"/>
              </w:rPr>
              <w:t>文件的商务</w:t>
            </w:r>
            <w:r>
              <w:rPr>
                <w:rFonts w:hint="eastAsia"/>
                <w:szCs w:val="21"/>
              </w:rPr>
              <w:t>条款</w:t>
            </w:r>
          </w:p>
        </w:tc>
        <w:tc>
          <w:tcPr>
            <w:tcW w:w="3319" w:type="dxa"/>
            <w:tcBorders>
              <w:top w:val="single" w:color="auto" w:sz="4" w:space="0"/>
              <w:left w:val="single" w:color="auto" w:sz="4" w:space="0"/>
              <w:bottom w:val="single" w:color="auto" w:sz="4" w:space="0"/>
              <w:right w:val="single" w:color="auto" w:sz="4" w:space="0"/>
            </w:tcBorders>
            <w:vAlign w:val="center"/>
          </w:tcPr>
          <w:p>
            <w:pPr>
              <w:pStyle w:val="5"/>
              <w:jc w:val="center"/>
              <w:rPr>
                <w:szCs w:val="21"/>
              </w:rPr>
            </w:pPr>
            <w:r>
              <w:rPr>
                <w:rFonts w:hint="eastAsia"/>
                <w:szCs w:val="21"/>
              </w:rPr>
              <w:t>响应</w:t>
            </w:r>
            <w:r>
              <w:rPr>
                <w:szCs w:val="21"/>
              </w:rPr>
              <w:t>文件承诺的商务条款</w:t>
            </w:r>
          </w:p>
        </w:tc>
        <w:tc>
          <w:tcPr>
            <w:tcW w:w="1622" w:type="dxa"/>
            <w:tcBorders>
              <w:top w:val="single" w:color="auto" w:sz="4" w:space="0"/>
              <w:left w:val="single" w:color="auto" w:sz="4" w:space="0"/>
              <w:bottom w:val="single" w:color="auto" w:sz="4" w:space="0"/>
              <w:right w:val="single" w:color="auto" w:sz="4" w:space="0"/>
            </w:tcBorders>
            <w:vAlign w:val="center"/>
          </w:tcPr>
          <w:p>
            <w:pPr>
              <w:pStyle w:val="5"/>
              <w:jc w:val="center"/>
              <w:rPr>
                <w:szCs w:val="21"/>
              </w:rPr>
            </w:pPr>
            <w:r>
              <w:rPr>
                <w:szCs w:val="21"/>
              </w:rPr>
              <w:t>偏离说明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4" w:hRule="exact"/>
          <w:jc w:val="center"/>
        </w:trPr>
        <w:tc>
          <w:tcPr>
            <w:tcW w:w="691" w:type="dxa"/>
            <w:tcBorders>
              <w:top w:val="single" w:color="auto" w:sz="4" w:space="0"/>
              <w:left w:val="single" w:color="auto" w:sz="4" w:space="0"/>
              <w:bottom w:val="single" w:color="auto" w:sz="4" w:space="0"/>
              <w:right w:val="single" w:color="auto" w:sz="4" w:space="0"/>
            </w:tcBorders>
            <w:vAlign w:val="center"/>
          </w:tcPr>
          <w:p>
            <w:pPr>
              <w:pStyle w:val="5"/>
              <w:jc w:val="center"/>
              <w:rPr>
                <w:szCs w:val="21"/>
              </w:rPr>
            </w:pPr>
            <w:r>
              <w:rPr>
                <w:szCs w:val="21"/>
              </w:rPr>
              <w:t>一</w:t>
            </w:r>
          </w:p>
        </w:tc>
        <w:tc>
          <w:tcPr>
            <w:tcW w:w="3676" w:type="dxa"/>
            <w:tcBorders>
              <w:top w:val="single" w:color="auto" w:sz="4" w:space="0"/>
              <w:left w:val="single" w:color="auto" w:sz="4" w:space="0"/>
              <w:bottom w:val="single" w:color="auto" w:sz="4" w:space="0"/>
              <w:right w:val="single" w:color="auto" w:sz="4" w:space="0"/>
            </w:tcBorders>
            <w:vAlign w:val="center"/>
          </w:tcPr>
          <w:p>
            <w:pPr>
              <w:pStyle w:val="5"/>
              <w:rPr>
                <w:szCs w:val="21"/>
              </w:rPr>
            </w:pPr>
            <w:r>
              <w:rPr>
                <w:rFonts w:hint="eastAsia" w:asciiTheme="minorEastAsia" w:hAnsiTheme="minorEastAsia" w:cstheme="minorEastAsia"/>
              </w:rPr>
              <w:t>合同签订期：自中结果公告发出之日起</w:t>
            </w:r>
            <w:r>
              <w:rPr>
                <w:rFonts w:hint="eastAsia" w:asciiTheme="minorEastAsia" w:hAnsiTheme="minorEastAsia" w:cstheme="minorEastAsia"/>
                <w:u w:val="single"/>
              </w:rPr>
              <w:t xml:space="preserve"> 10 个</w:t>
            </w:r>
            <w:r>
              <w:rPr>
                <w:rFonts w:hint="eastAsia" w:asciiTheme="minorEastAsia" w:hAnsiTheme="minorEastAsia" w:cstheme="minorEastAsia"/>
              </w:rPr>
              <w:t>工作日内。</w:t>
            </w:r>
          </w:p>
        </w:tc>
        <w:tc>
          <w:tcPr>
            <w:tcW w:w="3319" w:type="dxa"/>
            <w:tcBorders>
              <w:top w:val="single" w:color="auto" w:sz="4" w:space="0"/>
              <w:left w:val="single" w:color="auto" w:sz="4" w:space="0"/>
              <w:bottom w:val="single" w:color="auto" w:sz="4" w:space="0"/>
              <w:right w:val="single" w:color="auto" w:sz="4" w:space="0"/>
            </w:tcBorders>
            <w:vAlign w:val="center"/>
          </w:tcPr>
          <w:p>
            <w:pPr>
              <w:pStyle w:val="5"/>
              <w:rPr>
                <w:szCs w:val="21"/>
              </w:rPr>
            </w:pPr>
            <w:r>
              <w:rPr>
                <w:rFonts w:hint="eastAsia" w:asciiTheme="minorEastAsia" w:hAnsiTheme="minorEastAsia" w:cstheme="minorEastAsia"/>
                <w:color w:val="FF0000"/>
                <w:szCs w:val="21"/>
              </w:rPr>
              <w:t>请填入贵单位响应的内容。</w:t>
            </w:r>
          </w:p>
        </w:tc>
        <w:tc>
          <w:tcPr>
            <w:tcW w:w="1622" w:type="dxa"/>
            <w:tcBorders>
              <w:top w:val="single" w:color="auto" w:sz="4" w:space="0"/>
              <w:left w:val="single" w:color="auto" w:sz="4" w:space="0"/>
              <w:bottom w:val="single" w:color="auto" w:sz="4" w:space="0"/>
              <w:right w:val="single" w:color="auto" w:sz="4" w:space="0"/>
            </w:tcBorders>
            <w:vAlign w:val="center"/>
          </w:tcPr>
          <w:p>
            <w:pPr>
              <w:pStyle w:val="5"/>
              <w:rPr>
                <w:szCs w:val="21"/>
              </w:rPr>
            </w:pPr>
            <w:r>
              <w:rPr>
                <w:szCs w:val="21"/>
              </w:rPr>
              <w:t>正偏离（负偏离或无偏离）</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7" w:hRule="exact"/>
          <w:jc w:val="center"/>
        </w:trPr>
        <w:tc>
          <w:tcPr>
            <w:tcW w:w="691" w:type="dxa"/>
            <w:tcBorders>
              <w:top w:val="single" w:color="auto" w:sz="4" w:space="0"/>
              <w:left w:val="single" w:color="auto" w:sz="4" w:space="0"/>
              <w:bottom w:val="single" w:color="auto" w:sz="4" w:space="0"/>
              <w:right w:val="single" w:color="auto" w:sz="4" w:space="0"/>
            </w:tcBorders>
            <w:vAlign w:val="center"/>
          </w:tcPr>
          <w:p>
            <w:pPr>
              <w:pStyle w:val="5"/>
              <w:jc w:val="center"/>
              <w:rPr>
                <w:szCs w:val="21"/>
              </w:rPr>
            </w:pPr>
            <w:r>
              <w:rPr>
                <w:szCs w:val="21"/>
              </w:rPr>
              <w:t>二</w:t>
            </w:r>
          </w:p>
        </w:tc>
        <w:tc>
          <w:tcPr>
            <w:tcW w:w="3676" w:type="dxa"/>
            <w:tcBorders>
              <w:top w:val="single" w:color="auto" w:sz="4" w:space="0"/>
              <w:left w:val="single" w:color="auto" w:sz="4" w:space="0"/>
              <w:bottom w:val="single" w:color="auto" w:sz="4" w:space="0"/>
              <w:right w:val="single" w:color="auto" w:sz="4" w:space="0"/>
            </w:tcBorders>
            <w:vAlign w:val="center"/>
          </w:tcPr>
          <w:p>
            <w:pPr>
              <w:widowControl/>
              <w:shd w:val="clear" w:color="auto" w:fill="FFFFFF"/>
              <w:rPr>
                <w:rFonts w:ascii="宋体" w:hAnsi="宋体"/>
                <w:szCs w:val="21"/>
              </w:rPr>
            </w:pPr>
            <w:r>
              <w:rPr>
                <w:rFonts w:hint="eastAsia" w:asciiTheme="minorEastAsia" w:hAnsiTheme="minorEastAsia" w:cstheme="minorEastAsia"/>
              </w:rPr>
              <w:t>交货期：自合同签订之日起</w:t>
            </w:r>
            <w:r>
              <w:rPr>
                <w:rFonts w:hint="eastAsia" w:asciiTheme="minorEastAsia" w:hAnsiTheme="minorEastAsia" w:cstheme="minorEastAsia"/>
                <w:u w:val="single"/>
                <w:lang w:val="en-US" w:eastAsia="zh-CN"/>
              </w:rPr>
              <w:t>20</w:t>
            </w:r>
            <w:r>
              <w:rPr>
                <w:rFonts w:hint="eastAsia" w:asciiTheme="minorEastAsia" w:hAnsiTheme="minorEastAsia" w:cstheme="minorEastAsia"/>
                <w:u w:val="single"/>
              </w:rPr>
              <w:t>天内</w:t>
            </w:r>
            <w:r>
              <w:rPr>
                <w:rFonts w:hint="eastAsia" w:asciiTheme="minorEastAsia" w:hAnsiTheme="minorEastAsia" w:cstheme="minorEastAsia"/>
              </w:rPr>
              <w:t>完成交货并安装调试完毕。</w:t>
            </w:r>
          </w:p>
        </w:tc>
        <w:tc>
          <w:tcPr>
            <w:tcW w:w="3319" w:type="dxa"/>
            <w:tcBorders>
              <w:top w:val="single" w:color="auto" w:sz="4" w:space="0"/>
              <w:left w:val="single" w:color="auto" w:sz="4" w:space="0"/>
              <w:bottom w:val="single" w:color="auto" w:sz="4" w:space="0"/>
              <w:right w:val="single" w:color="auto" w:sz="4" w:space="0"/>
            </w:tcBorders>
            <w:vAlign w:val="center"/>
          </w:tcPr>
          <w:p>
            <w:pPr>
              <w:pStyle w:val="5"/>
              <w:rPr>
                <w:szCs w:val="21"/>
              </w:rPr>
            </w:pPr>
            <w:r>
              <w:rPr>
                <w:rFonts w:hint="eastAsia" w:asciiTheme="minorEastAsia" w:hAnsiTheme="minorEastAsia" w:cstheme="minorEastAsia"/>
                <w:color w:val="FF0000"/>
                <w:szCs w:val="21"/>
              </w:rPr>
              <w:t>请填入贵单位响应的内容。</w:t>
            </w:r>
          </w:p>
        </w:tc>
        <w:tc>
          <w:tcPr>
            <w:tcW w:w="1622" w:type="dxa"/>
            <w:tcBorders>
              <w:top w:val="single" w:color="auto" w:sz="4" w:space="0"/>
              <w:left w:val="single" w:color="auto" w:sz="4" w:space="0"/>
              <w:bottom w:val="single" w:color="auto" w:sz="4" w:space="0"/>
              <w:right w:val="single" w:color="auto" w:sz="4" w:space="0"/>
            </w:tcBorders>
            <w:vAlign w:val="center"/>
          </w:tcPr>
          <w:p>
            <w:pPr>
              <w:pStyle w:val="5"/>
              <w:rPr>
                <w:szCs w:val="21"/>
              </w:rPr>
            </w:pPr>
            <w:r>
              <w:rPr>
                <w:szCs w:val="21"/>
              </w:rPr>
              <w:t>正偏离（负偏离或无偏离）</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7" w:hRule="exact"/>
          <w:jc w:val="center"/>
        </w:trPr>
        <w:tc>
          <w:tcPr>
            <w:tcW w:w="691" w:type="dxa"/>
            <w:tcBorders>
              <w:top w:val="single" w:color="auto" w:sz="4" w:space="0"/>
              <w:left w:val="single" w:color="auto" w:sz="4" w:space="0"/>
              <w:bottom w:val="single" w:color="auto" w:sz="4" w:space="0"/>
              <w:right w:val="single" w:color="auto" w:sz="4" w:space="0"/>
            </w:tcBorders>
            <w:vAlign w:val="center"/>
          </w:tcPr>
          <w:p>
            <w:pPr>
              <w:pStyle w:val="5"/>
              <w:jc w:val="center"/>
              <w:rPr>
                <w:szCs w:val="21"/>
              </w:rPr>
            </w:pPr>
            <w:r>
              <w:rPr>
                <w:szCs w:val="21"/>
              </w:rPr>
              <w:t>三</w:t>
            </w:r>
          </w:p>
        </w:tc>
        <w:tc>
          <w:tcPr>
            <w:tcW w:w="3676" w:type="dxa"/>
            <w:tcBorders>
              <w:top w:val="single" w:color="auto" w:sz="4" w:space="0"/>
              <w:left w:val="single" w:color="auto" w:sz="4" w:space="0"/>
              <w:bottom w:val="single" w:color="auto" w:sz="4" w:space="0"/>
              <w:right w:val="single" w:color="auto" w:sz="4" w:space="0"/>
            </w:tcBorders>
            <w:vAlign w:val="center"/>
          </w:tcPr>
          <w:p>
            <w:pPr>
              <w:pStyle w:val="5"/>
              <w:rPr>
                <w:szCs w:val="21"/>
              </w:rPr>
            </w:pPr>
            <w:r>
              <w:rPr>
                <w:rFonts w:hint="eastAsia" w:hAnsi="宋体"/>
                <w:szCs w:val="21"/>
              </w:rPr>
              <w:t>交货地点：南宁中心血站指定地点。</w:t>
            </w:r>
          </w:p>
        </w:tc>
        <w:tc>
          <w:tcPr>
            <w:tcW w:w="3319" w:type="dxa"/>
            <w:tcBorders>
              <w:top w:val="single" w:color="auto" w:sz="4" w:space="0"/>
              <w:left w:val="single" w:color="auto" w:sz="4" w:space="0"/>
              <w:bottom w:val="single" w:color="auto" w:sz="4" w:space="0"/>
              <w:right w:val="single" w:color="auto" w:sz="4" w:space="0"/>
            </w:tcBorders>
            <w:vAlign w:val="center"/>
          </w:tcPr>
          <w:p>
            <w:pPr>
              <w:pStyle w:val="5"/>
              <w:rPr>
                <w:szCs w:val="21"/>
              </w:rPr>
            </w:pPr>
            <w:r>
              <w:rPr>
                <w:rFonts w:hint="eastAsia" w:asciiTheme="minorEastAsia" w:hAnsiTheme="minorEastAsia" w:cstheme="minorEastAsia"/>
                <w:color w:val="FF0000"/>
                <w:szCs w:val="21"/>
              </w:rPr>
              <w:t>请填入贵单位响应的内容。</w:t>
            </w:r>
          </w:p>
        </w:tc>
        <w:tc>
          <w:tcPr>
            <w:tcW w:w="1622" w:type="dxa"/>
            <w:tcBorders>
              <w:top w:val="single" w:color="auto" w:sz="4" w:space="0"/>
              <w:left w:val="single" w:color="auto" w:sz="4" w:space="0"/>
              <w:bottom w:val="single" w:color="auto" w:sz="4" w:space="0"/>
              <w:right w:val="single" w:color="auto" w:sz="4" w:space="0"/>
            </w:tcBorders>
            <w:vAlign w:val="center"/>
          </w:tcPr>
          <w:p>
            <w:pPr>
              <w:pStyle w:val="5"/>
              <w:rPr>
                <w:szCs w:val="21"/>
              </w:rPr>
            </w:pPr>
            <w:r>
              <w:rPr>
                <w:szCs w:val="21"/>
              </w:rPr>
              <w:t>正偏离（负偏离或无偏离）</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67" w:hRule="exact"/>
          <w:jc w:val="center"/>
        </w:trPr>
        <w:tc>
          <w:tcPr>
            <w:tcW w:w="691" w:type="dxa"/>
            <w:tcBorders>
              <w:top w:val="single" w:color="auto" w:sz="4" w:space="0"/>
              <w:left w:val="single" w:color="auto" w:sz="4" w:space="0"/>
              <w:bottom w:val="single" w:color="auto" w:sz="4" w:space="0"/>
              <w:right w:val="single" w:color="auto" w:sz="4" w:space="0"/>
            </w:tcBorders>
            <w:vAlign w:val="center"/>
          </w:tcPr>
          <w:p>
            <w:pPr>
              <w:pStyle w:val="5"/>
              <w:jc w:val="center"/>
              <w:rPr>
                <w:szCs w:val="21"/>
              </w:rPr>
            </w:pPr>
            <w:r>
              <w:rPr>
                <w:rFonts w:hint="eastAsia"/>
                <w:szCs w:val="21"/>
              </w:rPr>
              <w:t>四</w:t>
            </w:r>
          </w:p>
        </w:tc>
        <w:tc>
          <w:tcPr>
            <w:tcW w:w="3676" w:type="dxa"/>
            <w:tcBorders>
              <w:top w:val="single" w:color="auto" w:sz="4" w:space="0"/>
              <w:left w:val="single" w:color="auto" w:sz="4" w:space="0"/>
              <w:bottom w:val="single" w:color="auto" w:sz="4" w:space="0"/>
              <w:right w:val="single" w:color="auto" w:sz="4" w:space="0"/>
            </w:tcBorders>
            <w:vAlign w:val="center"/>
          </w:tcPr>
          <w:p>
            <w:pPr>
              <w:pStyle w:val="5"/>
              <w:rPr>
                <w:szCs w:val="21"/>
              </w:rPr>
            </w:pPr>
            <w:r>
              <w:rPr>
                <w:rFonts w:hint="eastAsia" w:hAnsi="宋体"/>
                <w:bCs/>
                <w:szCs w:val="21"/>
              </w:rPr>
              <w:t>交货方式：现场交货。</w:t>
            </w:r>
          </w:p>
        </w:tc>
        <w:tc>
          <w:tcPr>
            <w:tcW w:w="3319" w:type="dxa"/>
            <w:tcBorders>
              <w:top w:val="single" w:color="auto" w:sz="4" w:space="0"/>
              <w:left w:val="single" w:color="auto" w:sz="4" w:space="0"/>
              <w:bottom w:val="single" w:color="auto" w:sz="4" w:space="0"/>
              <w:right w:val="single" w:color="auto" w:sz="4" w:space="0"/>
            </w:tcBorders>
            <w:vAlign w:val="center"/>
          </w:tcPr>
          <w:p>
            <w:pPr>
              <w:pStyle w:val="5"/>
              <w:rPr>
                <w:szCs w:val="21"/>
              </w:rPr>
            </w:pPr>
            <w:r>
              <w:rPr>
                <w:rFonts w:hint="eastAsia" w:asciiTheme="minorEastAsia" w:hAnsiTheme="minorEastAsia" w:cstheme="minorEastAsia"/>
                <w:color w:val="FF0000"/>
                <w:szCs w:val="21"/>
              </w:rPr>
              <w:t xml:space="preserve">请填入贵单位响应的内容。 </w:t>
            </w:r>
          </w:p>
        </w:tc>
        <w:tc>
          <w:tcPr>
            <w:tcW w:w="1622" w:type="dxa"/>
            <w:tcBorders>
              <w:top w:val="single" w:color="auto" w:sz="4" w:space="0"/>
              <w:left w:val="single" w:color="auto" w:sz="4" w:space="0"/>
              <w:bottom w:val="single" w:color="auto" w:sz="4" w:space="0"/>
              <w:right w:val="single" w:color="auto" w:sz="4" w:space="0"/>
            </w:tcBorders>
            <w:vAlign w:val="center"/>
          </w:tcPr>
          <w:p>
            <w:pPr>
              <w:pStyle w:val="5"/>
              <w:rPr>
                <w:szCs w:val="21"/>
              </w:rPr>
            </w:pPr>
            <w:r>
              <w:rPr>
                <w:szCs w:val="21"/>
              </w:rPr>
              <w:t>正偏离（负偏离或无偏离）</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86" w:hRule="atLeast"/>
          <w:jc w:val="center"/>
        </w:trPr>
        <w:tc>
          <w:tcPr>
            <w:tcW w:w="691" w:type="dxa"/>
            <w:tcBorders>
              <w:top w:val="single" w:color="auto" w:sz="4" w:space="0"/>
              <w:left w:val="single" w:color="auto" w:sz="4" w:space="0"/>
              <w:bottom w:val="single" w:color="auto" w:sz="4" w:space="0"/>
              <w:right w:val="single" w:color="auto" w:sz="4" w:space="0"/>
            </w:tcBorders>
            <w:vAlign w:val="center"/>
          </w:tcPr>
          <w:p>
            <w:pPr>
              <w:pStyle w:val="5"/>
              <w:jc w:val="center"/>
              <w:rPr>
                <w:szCs w:val="21"/>
              </w:rPr>
            </w:pPr>
            <w:r>
              <w:rPr>
                <w:rFonts w:hint="eastAsia"/>
                <w:szCs w:val="21"/>
              </w:rPr>
              <w:t>五</w:t>
            </w:r>
          </w:p>
        </w:tc>
        <w:tc>
          <w:tcPr>
            <w:tcW w:w="3676" w:type="dxa"/>
            <w:tcBorders>
              <w:top w:val="single" w:color="auto" w:sz="4" w:space="0"/>
              <w:left w:val="single" w:color="auto" w:sz="4" w:space="0"/>
              <w:bottom w:val="single" w:color="auto" w:sz="4" w:space="0"/>
              <w:right w:val="single" w:color="auto" w:sz="4" w:space="0"/>
            </w:tcBorders>
            <w:vAlign w:val="center"/>
          </w:tcPr>
          <w:p>
            <w:pPr>
              <w:pStyle w:val="2"/>
              <w:ind w:firstLine="210"/>
              <w:rPr>
                <w:rFonts w:hint="eastAsia" w:ascii="宋体" w:hAnsi="宋体"/>
                <w:szCs w:val="21"/>
              </w:rPr>
            </w:pPr>
            <w:r>
              <w:rPr>
                <w:rFonts w:hint="eastAsia" w:asciiTheme="minorEastAsia" w:hAnsiTheme="minorEastAsia" w:cstheme="minorEastAsia"/>
              </w:rPr>
              <w:t>▲</w:t>
            </w:r>
            <w:r>
              <w:rPr>
                <w:rFonts w:hint="eastAsia" w:ascii="宋体" w:hAnsi="宋体"/>
                <w:szCs w:val="21"/>
              </w:rPr>
              <w:t>售后服务及要求：</w:t>
            </w:r>
          </w:p>
          <w:p>
            <w:pPr>
              <w:pStyle w:val="2"/>
              <w:ind w:firstLine="210"/>
              <w:rPr>
                <w:rFonts w:hint="eastAsia" w:ascii="宋体" w:hAnsi="宋体"/>
                <w:szCs w:val="21"/>
              </w:rPr>
            </w:pPr>
            <w:r>
              <w:rPr>
                <w:rFonts w:hint="eastAsia" w:ascii="宋体" w:hAnsi="宋体"/>
                <w:szCs w:val="21"/>
              </w:rPr>
              <w:t>1、按国家有关产品“三包”规定执行“三包”，质量保证期5年，交货验收合格之日起计。</w:t>
            </w:r>
          </w:p>
          <w:p>
            <w:pPr>
              <w:pStyle w:val="2"/>
              <w:ind w:firstLine="210"/>
              <w:rPr>
                <w:rFonts w:hint="eastAsia" w:ascii="宋体" w:hAnsi="宋体"/>
                <w:szCs w:val="21"/>
              </w:rPr>
            </w:pPr>
            <w:r>
              <w:rPr>
                <w:rFonts w:hint="eastAsia" w:ascii="宋体" w:hAnsi="宋体"/>
                <w:szCs w:val="21"/>
              </w:rPr>
              <w:t>2、质保期内提供具有 CNAS 资质的第三方检测机构的校准服务及校准证书。</w:t>
            </w:r>
          </w:p>
          <w:p>
            <w:pPr>
              <w:pStyle w:val="2"/>
              <w:ind w:firstLine="210"/>
              <w:rPr>
                <w:rFonts w:hint="eastAsia" w:ascii="宋体" w:hAnsi="宋体"/>
                <w:szCs w:val="21"/>
              </w:rPr>
            </w:pPr>
            <w:r>
              <w:rPr>
                <w:rFonts w:hint="eastAsia" w:ascii="宋体" w:hAnsi="宋体"/>
                <w:szCs w:val="21"/>
              </w:rPr>
              <w:t>3、在质量保证期内应提供保修服务，保修服务具体如下:产品出现非人为原因故障，成交供应商负责免费维修；属于采购人责任事故造成的产品故障，成交供应商负责维修，费用由采购人承担。</w:t>
            </w:r>
          </w:p>
          <w:p>
            <w:pPr>
              <w:pStyle w:val="2"/>
              <w:ind w:firstLine="210"/>
            </w:pPr>
            <w:r>
              <w:rPr>
                <w:rFonts w:hint="eastAsia" w:ascii="宋体" w:hAnsi="宋体"/>
                <w:szCs w:val="21"/>
              </w:rPr>
              <w:t>响应时间：免费送货到指定位置并安装，提供24小时服务电话。接到采购人维修电话或传真，如出现故障，在接到故障通知12小时内到达维修现场，并处理故障问题。</w:t>
            </w:r>
          </w:p>
        </w:tc>
        <w:tc>
          <w:tcPr>
            <w:tcW w:w="3319" w:type="dxa"/>
            <w:tcBorders>
              <w:top w:val="single" w:color="auto" w:sz="4" w:space="0"/>
              <w:left w:val="single" w:color="auto" w:sz="4" w:space="0"/>
              <w:bottom w:val="single" w:color="auto" w:sz="4" w:space="0"/>
              <w:right w:val="single" w:color="auto" w:sz="4" w:space="0"/>
            </w:tcBorders>
            <w:vAlign w:val="center"/>
          </w:tcPr>
          <w:p>
            <w:pPr>
              <w:pStyle w:val="5"/>
              <w:rPr>
                <w:szCs w:val="21"/>
              </w:rPr>
            </w:pPr>
            <w:r>
              <w:rPr>
                <w:rFonts w:hint="eastAsia" w:asciiTheme="minorEastAsia" w:hAnsiTheme="minorEastAsia" w:cstheme="minorEastAsia"/>
                <w:color w:val="FF0000"/>
                <w:szCs w:val="21"/>
              </w:rPr>
              <w:t>请填入贵单位响应的内容。</w:t>
            </w:r>
          </w:p>
        </w:tc>
        <w:tc>
          <w:tcPr>
            <w:tcW w:w="1622" w:type="dxa"/>
            <w:tcBorders>
              <w:top w:val="single" w:color="auto" w:sz="4" w:space="0"/>
              <w:left w:val="single" w:color="auto" w:sz="4" w:space="0"/>
              <w:bottom w:val="single" w:color="auto" w:sz="4" w:space="0"/>
              <w:right w:val="single" w:color="auto" w:sz="4" w:space="0"/>
            </w:tcBorders>
            <w:vAlign w:val="center"/>
          </w:tcPr>
          <w:p>
            <w:pPr>
              <w:pStyle w:val="5"/>
              <w:rPr>
                <w:szCs w:val="21"/>
              </w:rPr>
            </w:pPr>
            <w:r>
              <w:rPr>
                <w:szCs w:val="21"/>
              </w:rPr>
              <w:t>正偏离（负偏离或无偏离）</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86" w:hRule="atLeast"/>
          <w:jc w:val="center"/>
        </w:trPr>
        <w:tc>
          <w:tcPr>
            <w:tcW w:w="691" w:type="dxa"/>
            <w:tcBorders>
              <w:top w:val="single" w:color="auto" w:sz="4" w:space="0"/>
              <w:left w:val="single" w:color="auto" w:sz="4" w:space="0"/>
              <w:bottom w:val="single" w:color="auto" w:sz="4" w:space="0"/>
              <w:right w:val="single" w:color="auto" w:sz="4" w:space="0"/>
            </w:tcBorders>
            <w:vAlign w:val="center"/>
          </w:tcPr>
          <w:p>
            <w:pPr>
              <w:pStyle w:val="5"/>
              <w:jc w:val="center"/>
              <w:rPr>
                <w:szCs w:val="21"/>
              </w:rPr>
            </w:pPr>
            <w:r>
              <w:rPr>
                <w:rFonts w:hint="eastAsia"/>
                <w:szCs w:val="21"/>
              </w:rPr>
              <w:t>六</w:t>
            </w:r>
          </w:p>
        </w:tc>
        <w:tc>
          <w:tcPr>
            <w:tcW w:w="3676" w:type="dxa"/>
            <w:tcBorders>
              <w:top w:val="single" w:color="auto" w:sz="4" w:space="0"/>
              <w:left w:val="single" w:color="auto" w:sz="4" w:space="0"/>
              <w:bottom w:val="single" w:color="auto" w:sz="4" w:space="0"/>
              <w:right w:val="single" w:color="auto" w:sz="4" w:space="0"/>
            </w:tcBorders>
            <w:vAlign w:val="center"/>
          </w:tcPr>
          <w:p>
            <w:pPr>
              <w:pStyle w:val="8"/>
              <w:kinsoku w:val="0"/>
              <w:overflowPunct w:val="0"/>
              <w:spacing w:before="29"/>
              <w:rPr>
                <w:rFonts w:hint="eastAsia" w:ascii="宋体" w:hAnsi="宋体" w:eastAsiaTheme="minorEastAsia" w:cstheme="minorBidi"/>
                <w:kern w:val="2"/>
                <w:sz w:val="21"/>
                <w:szCs w:val="21"/>
                <w:lang w:val="en-US" w:eastAsia="zh-CN" w:bidi="ar-SA"/>
              </w:rPr>
            </w:pPr>
            <w:r>
              <w:rPr>
                <w:rFonts w:hint="eastAsia" w:ascii="宋体" w:hAnsi="宋体"/>
                <w:szCs w:val="21"/>
              </w:rPr>
              <w:t>▲</w:t>
            </w:r>
            <w:r>
              <w:rPr>
                <w:rFonts w:hint="eastAsia" w:ascii="宋体" w:hAnsi="宋体" w:eastAsiaTheme="minorEastAsia" w:cstheme="minorBidi"/>
                <w:kern w:val="2"/>
                <w:sz w:val="21"/>
                <w:szCs w:val="21"/>
                <w:lang w:val="en-US" w:eastAsia="zh-CN" w:bidi="ar-SA"/>
              </w:rPr>
              <w:t>其他要求：</w:t>
            </w:r>
          </w:p>
          <w:p>
            <w:pPr>
              <w:pStyle w:val="8"/>
              <w:kinsoku w:val="0"/>
              <w:overflowPunct w:val="0"/>
              <w:spacing w:before="29"/>
              <w:rPr>
                <w:rFonts w:hint="eastAsia" w:ascii="宋体" w:hAnsi="宋体" w:eastAsiaTheme="minorEastAsia" w:cstheme="minorBidi"/>
                <w:kern w:val="2"/>
                <w:sz w:val="21"/>
                <w:szCs w:val="21"/>
                <w:lang w:val="en-US" w:eastAsia="zh-CN" w:bidi="ar-SA"/>
              </w:rPr>
            </w:pPr>
            <w:r>
              <w:rPr>
                <w:rFonts w:hint="eastAsia" w:ascii="宋体" w:hAnsi="宋体" w:eastAsiaTheme="minorEastAsia" w:cstheme="minorBidi"/>
                <w:kern w:val="2"/>
                <w:sz w:val="21"/>
                <w:szCs w:val="21"/>
                <w:lang w:val="en-US" w:eastAsia="zh-CN" w:bidi="ar-SA"/>
              </w:rPr>
              <w:t>1、报价必须含以下部分，包括：</w:t>
            </w:r>
          </w:p>
          <w:p>
            <w:pPr>
              <w:pStyle w:val="8"/>
              <w:kinsoku w:val="0"/>
              <w:overflowPunct w:val="0"/>
              <w:spacing w:before="29"/>
              <w:rPr>
                <w:rFonts w:hint="eastAsia" w:ascii="宋体" w:hAnsi="宋体" w:eastAsiaTheme="minorEastAsia" w:cstheme="minorBidi"/>
                <w:kern w:val="2"/>
                <w:sz w:val="21"/>
                <w:szCs w:val="21"/>
                <w:lang w:val="en-US" w:eastAsia="zh-CN" w:bidi="ar-SA"/>
              </w:rPr>
            </w:pPr>
            <w:r>
              <w:rPr>
                <w:rFonts w:hint="eastAsia" w:ascii="宋体" w:hAnsi="宋体" w:eastAsiaTheme="minorEastAsia" w:cstheme="minorBidi"/>
                <w:kern w:val="2"/>
                <w:sz w:val="21"/>
                <w:szCs w:val="21"/>
                <w:lang w:val="en-US" w:eastAsia="zh-CN" w:bidi="ar-SA"/>
              </w:rPr>
              <w:t>（1）要求货物是全新、未经改装、合格、满足本项目技术需求及要求的货物。所有零部件、配件必须是未经使用的全新的并符合国家有关质量安全标准的产品。</w:t>
            </w:r>
          </w:p>
          <w:p>
            <w:pPr>
              <w:pStyle w:val="8"/>
              <w:kinsoku w:val="0"/>
              <w:overflowPunct w:val="0"/>
              <w:spacing w:before="29"/>
              <w:rPr>
                <w:rFonts w:hint="eastAsia" w:ascii="宋体" w:hAnsi="宋体" w:eastAsiaTheme="minorEastAsia" w:cstheme="minorBidi"/>
                <w:kern w:val="2"/>
                <w:sz w:val="21"/>
                <w:szCs w:val="21"/>
                <w:lang w:val="en-US" w:eastAsia="zh-CN" w:bidi="ar-SA"/>
              </w:rPr>
            </w:pPr>
            <w:r>
              <w:rPr>
                <w:rFonts w:hint="eastAsia" w:ascii="宋体" w:hAnsi="宋体" w:eastAsiaTheme="minorEastAsia" w:cstheme="minorBidi"/>
                <w:kern w:val="2"/>
                <w:sz w:val="21"/>
                <w:szCs w:val="21"/>
                <w:lang w:val="en-US" w:eastAsia="zh-CN" w:bidi="ar-SA"/>
              </w:rPr>
              <w:t>（2）投标报价为采购人指定地点的现场交货价，包括：</w:t>
            </w:r>
          </w:p>
          <w:p>
            <w:pPr>
              <w:pStyle w:val="8"/>
              <w:kinsoku w:val="0"/>
              <w:overflowPunct w:val="0"/>
              <w:spacing w:before="29"/>
              <w:rPr>
                <w:rFonts w:hint="eastAsia" w:ascii="宋体" w:hAnsi="宋体" w:eastAsiaTheme="minorEastAsia" w:cstheme="minorBidi"/>
                <w:kern w:val="2"/>
                <w:sz w:val="21"/>
                <w:szCs w:val="21"/>
                <w:lang w:val="en-US" w:eastAsia="zh-CN" w:bidi="ar-SA"/>
              </w:rPr>
            </w:pPr>
            <w:r>
              <w:rPr>
                <w:rFonts w:hint="eastAsia" w:ascii="宋体" w:hAnsi="宋体" w:eastAsiaTheme="minorEastAsia" w:cstheme="minorBidi"/>
                <w:kern w:val="2"/>
                <w:sz w:val="21"/>
                <w:szCs w:val="21"/>
                <w:lang w:val="en-US" w:eastAsia="zh-CN" w:bidi="ar-SA"/>
              </w:rPr>
              <w:t>①货物的价格；</w:t>
            </w:r>
          </w:p>
          <w:p>
            <w:pPr>
              <w:pStyle w:val="8"/>
              <w:kinsoku w:val="0"/>
              <w:overflowPunct w:val="0"/>
              <w:spacing w:before="29"/>
              <w:rPr>
                <w:rFonts w:hint="eastAsia" w:ascii="宋体" w:hAnsi="宋体" w:eastAsiaTheme="minorEastAsia" w:cstheme="minorBidi"/>
                <w:kern w:val="2"/>
                <w:sz w:val="21"/>
                <w:szCs w:val="21"/>
                <w:lang w:val="en-US" w:eastAsia="zh-CN" w:bidi="ar-SA"/>
              </w:rPr>
            </w:pPr>
            <w:r>
              <w:rPr>
                <w:rFonts w:hint="eastAsia" w:ascii="宋体" w:hAnsi="宋体" w:eastAsiaTheme="minorEastAsia" w:cstheme="minorBidi"/>
                <w:kern w:val="2"/>
                <w:sz w:val="21"/>
                <w:szCs w:val="21"/>
                <w:lang w:val="en-US" w:eastAsia="zh-CN" w:bidi="ar-SA"/>
              </w:rPr>
              <w:t>②货物的标准配件附件、备品备件、专用工具、包装的价格；</w:t>
            </w:r>
          </w:p>
          <w:p>
            <w:pPr>
              <w:pStyle w:val="8"/>
              <w:kinsoku w:val="0"/>
              <w:overflowPunct w:val="0"/>
              <w:spacing w:before="29"/>
              <w:rPr>
                <w:rFonts w:hint="eastAsia" w:ascii="宋体" w:hAnsi="宋体" w:eastAsiaTheme="minorEastAsia" w:cstheme="minorBidi"/>
                <w:kern w:val="2"/>
                <w:sz w:val="21"/>
                <w:szCs w:val="21"/>
                <w:lang w:val="en-US" w:eastAsia="zh-CN" w:bidi="ar-SA"/>
              </w:rPr>
            </w:pPr>
            <w:r>
              <w:rPr>
                <w:rFonts w:hint="eastAsia" w:ascii="宋体" w:hAnsi="宋体" w:eastAsiaTheme="minorEastAsia" w:cstheme="minorBidi"/>
                <w:kern w:val="2"/>
                <w:sz w:val="21"/>
                <w:szCs w:val="21"/>
                <w:lang w:val="en-US" w:eastAsia="zh-CN" w:bidi="ar-SA"/>
              </w:rPr>
              <w:t>③安装调试过程中涉及的材料和工具、运输、货到就位、保管、装卸、调试、技术支持、售后服务及安装涉及的配套土地平整及清理等费用；</w:t>
            </w:r>
          </w:p>
          <w:p>
            <w:pPr>
              <w:pStyle w:val="8"/>
              <w:kinsoku w:val="0"/>
              <w:overflowPunct w:val="0"/>
              <w:spacing w:before="29"/>
              <w:rPr>
                <w:rFonts w:hint="eastAsia" w:ascii="宋体" w:hAnsi="宋体" w:eastAsiaTheme="minorEastAsia" w:cstheme="minorBidi"/>
                <w:kern w:val="2"/>
                <w:sz w:val="21"/>
                <w:szCs w:val="21"/>
                <w:lang w:val="en-US" w:eastAsia="zh-CN" w:bidi="ar-SA"/>
              </w:rPr>
            </w:pPr>
            <w:r>
              <w:rPr>
                <w:rFonts w:hint="eastAsia" w:ascii="宋体" w:hAnsi="宋体" w:eastAsiaTheme="minorEastAsia" w:cstheme="minorBidi"/>
                <w:kern w:val="2"/>
                <w:sz w:val="21"/>
                <w:szCs w:val="21"/>
                <w:lang w:val="en-US" w:eastAsia="zh-CN" w:bidi="ar-SA"/>
              </w:rPr>
              <w:t>④必要的保险费用和各项税费；</w:t>
            </w:r>
          </w:p>
          <w:p>
            <w:pPr>
              <w:pStyle w:val="8"/>
              <w:kinsoku w:val="0"/>
              <w:overflowPunct w:val="0"/>
              <w:spacing w:before="29"/>
              <w:rPr>
                <w:rFonts w:hint="eastAsia" w:ascii="宋体" w:hAnsi="宋体" w:eastAsiaTheme="minorEastAsia" w:cstheme="minorBidi"/>
                <w:kern w:val="2"/>
                <w:sz w:val="21"/>
                <w:szCs w:val="21"/>
                <w:lang w:val="en-US" w:eastAsia="zh-CN" w:bidi="ar-SA"/>
              </w:rPr>
            </w:pPr>
            <w:r>
              <w:rPr>
                <w:rFonts w:hint="eastAsia" w:ascii="宋体" w:hAnsi="宋体" w:eastAsiaTheme="minorEastAsia" w:cstheme="minorBidi"/>
                <w:kern w:val="2"/>
                <w:sz w:val="21"/>
                <w:szCs w:val="21"/>
                <w:lang w:val="en-US" w:eastAsia="zh-CN" w:bidi="ar-SA"/>
              </w:rPr>
              <w:t>⑤送货上门、安装、培训（含教材费、场地租用费）的费用；</w:t>
            </w:r>
          </w:p>
          <w:p>
            <w:pPr>
              <w:pStyle w:val="8"/>
              <w:kinsoku w:val="0"/>
              <w:overflowPunct w:val="0"/>
              <w:spacing w:before="29"/>
              <w:rPr>
                <w:rFonts w:hint="eastAsia" w:ascii="宋体" w:hAnsi="宋体" w:eastAsiaTheme="minorEastAsia" w:cstheme="minorBidi"/>
                <w:kern w:val="2"/>
                <w:sz w:val="21"/>
                <w:szCs w:val="21"/>
                <w:lang w:val="en-US" w:eastAsia="zh-CN" w:bidi="ar-SA"/>
              </w:rPr>
            </w:pPr>
            <w:r>
              <w:rPr>
                <w:rFonts w:hint="eastAsia" w:ascii="宋体" w:hAnsi="宋体" w:eastAsiaTheme="minorEastAsia" w:cstheme="minorBidi"/>
                <w:kern w:val="2"/>
                <w:sz w:val="21"/>
                <w:szCs w:val="21"/>
                <w:lang w:val="en-US" w:eastAsia="zh-CN" w:bidi="ar-SA"/>
              </w:rPr>
              <w:t>⑥质保期内的维修费用和相关技术服务费。</w:t>
            </w:r>
          </w:p>
          <w:p>
            <w:pPr>
              <w:pStyle w:val="8"/>
              <w:kinsoku w:val="0"/>
              <w:overflowPunct w:val="0"/>
              <w:spacing w:before="29"/>
              <w:rPr>
                <w:rFonts w:hint="default" w:ascii="宋体" w:hAnsi="宋体"/>
                <w:sz w:val="21"/>
                <w:szCs w:val="21"/>
              </w:rPr>
            </w:pPr>
            <w:r>
              <w:rPr>
                <w:rFonts w:hint="eastAsia" w:ascii="宋体" w:hAnsi="宋体" w:eastAsiaTheme="minorEastAsia" w:cstheme="minorBidi"/>
                <w:kern w:val="2"/>
                <w:sz w:val="21"/>
                <w:szCs w:val="21"/>
                <w:lang w:val="en-US" w:eastAsia="zh-CN" w:bidi="ar-SA"/>
              </w:rPr>
              <w:t>2、付款方式：成交供应商交货、安装并调试完成，经采购人验收合格后一次性支付合同款（付款前成交供应商须提供等额合规的增值税发票）。</w:t>
            </w:r>
          </w:p>
        </w:tc>
        <w:tc>
          <w:tcPr>
            <w:tcW w:w="3319" w:type="dxa"/>
            <w:tcBorders>
              <w:top w:val="single" w:color="auto" w:sz="4" w:space="0"/>
              <w:left w:val="single" w:color="auto" w:sz="4" w:space="0"/>
              <w:bottom w:val="single" w:color="auto" w:sz="4" w:space="0"/>
              <w:right w:val="single" w:color="auto" w:sz="4" w:space="0"/>
            </w:tcBorders>
            <w:vAlign w:val="center"/>
          </w:tcPr>
          <w:p>
            <w:pPr>
              <w:pStyle w:val="5"/>
              <w:rPr>
                <w:rFonts w:asciiTheme="minorEastAsia" w:hAnsiTheme="minorEastAsia" w:cstheme="minorEastAsia"/>
                <w:color w:val="FF0000"/>
                <w:szCs w:val="21"/>
              </w:rPr>
            </w:pPr>
            <w:r>
              <w:rPr>
                <w:rFonts w:hint="eastAsia" w:asciiTheme="minorEastAsia" w:hAnsiTheme="minorEastAsia" w:cstheme="minorEastAsia"/>
                <w:color w:val="FF0000"/>
                <w:szCs w:val="21"/>
              </w:rPr>
              <w:t>请填入贵单位响应的内容。</w:t>
            </w:r>
          </w:p>
        </w:tc>
        <w:tc>
          <w:tcPr>
            <w:tcW w:w="1622" w:type="dxa"/>
            <w:tcBorders>
              <w:top w:val="single" w:color="auto" w:sz="4" w:space="0"/>
              <w:left w:val="single" w:color="auto" w:sz="4" w:space="0"/>
              <w:bottom w:val="single" w:color="auto" w:sz="4" w:space="0"/>
              <w:right w:val="single" w:color="auto" w:sz="4" w:space="0"/>
            </w:tcBorders>
            <w:vAlign w:val="center"/>
          </w:tcPr>
          <w:p>
            <w:pPr>
              <w:pStyle w:val="5"/>
              <w:rPr>
                <w:szCs w:val="21"/>
              </w:rPr>
            </w:pPr>
            <w:r>
              <w:rPr>
                <w:szCs w:val="21"/>
              </w:rPr>
              <w:t>正偏离（负偏离或无偏离）</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86" w:hRule="atLeast"/>
          <w:jc w:val="center"/>
        </w:trPr>
        <w:tc>
          <w:tcPr>
            <w:tcW w:w="691" w:type="dxa"/>
            <w:tcBorders>
              <w:top w:val="single" w:color="auto" w:sz="4" w:space="0"/>
              <w:left w:val="single" w:color="auto" w:sz="4" w:space="0"/>
              <w:bottom w:val="single" w:color="auto" w:sz="4" w:space="0"/>
              <w:right w:val="single" w:color="auto" w:sz="4" w:space="0"/>
            </w:tcBorders>
            <w:vAlign w:val="center"/>
          </w:tcPr>
          <w:p>
            <w:pPr>
              <w:pStyle w:val="5"/>
              <w:jc w:val="center"/>
              <w:rPr>
                <w:rFonts w:hint="eastAsia" w:eastAsiaTheme="minorEastAsia"/>
                <w:szCs w:val="21"/>
                <w:lang w:val="en-US" w:eastAsia="zh-CN"/>
              </w:rPr>
            </w:pPr>
            <w:r>
              <w:rPr>
                <w:rFonts w:hint="eastAsia"/>
                <w:szCs w:val="21"/>
                <w:lang w:val="en-US" w:eastAsia="zh-CN"/>
              </w:rPr>
              <w:t>七</w:t>
            </w:r>
          </w:p>
        </w:tc>
        <w:tc>
          <w:tcPr>
            <w:tcW w:w="3676" w:type="dxa"/>
            <w:tcBorders>
              <w:top w:val="single" w:color="auto" w:sz="4" w:space="0"/>
              <w:left w:val="single" w:color="auto" w:sz="4" w:space="0"/>
              <w:bottom w:val="single" w:color="auto" w:sz="4" w:space="0"/>
              <w:right w:val="single" w:color="auto" w:sz="4" w:space="0"/>
            </w:tcBorders>
            <w:vAlign w:val="center"/>
          </w:tcPr>
          <w:p>
            <w:pPr>
              <w:pStyle w:val="8"/>
              <w:kinsoku w:val="0"/>
              <w:overflowPunct w:val="0"/>
              <w:spacing w:before="29"/>
              <w:rPr>
                <w:rFonts w:hint="eastAsia" w:ascii="宋体" w:hAnsi="宋体" w:eastAsiaTheme="minorEastAsia" w:cstheme="minorBidi"/>
                <w:kern w:val="2"/>
                <w:sz w:val="21"/>
                <w:szCs w:val="21"/>
                <w:lang w:val="en-US" w:eastAsia="zh-CN" w:bidi="ar-SA"/>
              </w:rPr>
            </w:pPr>
            <w:r>
              <w:rPr>
                <w:rFonts w:hint="eastAsia" w:ascii="宋体" w:hAnsi="宋体" w:eastAsiaTheme="minorEastAsia" w:cstheme="minorBidi"/>
                <w:kern w:val="2"/>
                <w:sz w:val="21"/>
                <w:szCs w:val="21"/>
                <w:lang w:val="en-US" w:eastAsia="zh-CN" w:bidi="ar-SA"/>
              </w:rPr>
              <w:t>验收标准、规范：</w:t>
            </w:r>
          </w:p>
          <w:p>
            <w:pPr>
              <w:pStyle w:val="8"/>
              <w:kinsoku w:val="0"/>
              <w:overflowPunct w:val="0"/>
              <w:spacing w:before="29"/>
              <w:rPr>
                <w:rFonts w:hint="eastAsia" w:ascii="宋体" w:hAnsi="宋体" w:eastAsiaTheme="minorEastAsia" w:cstheme="minorBidi"/>
                <w:kern w:val="2"/>
                <w:sz w:val="21"/>
                <w:szCs w:val="21"/>
                <w:lang w:val="en-US" w:eastAsia="zh-CN" w:bidi="ar-SA"/>
              </w:rPr>
            </w:pPr>
            <w:r>
              <w:rPr>
                <w:rFonts w:hint="eastAsia" w:ascii="宋体" w:hAnsi="宋体" w:eastAsiaTheme="minorEastAsia" w:cstheme="minorBidi"/>
                <w:kern w:val="2"/>
                <w:sz w:val="21"/>
                <w:szCs w:val="21"/>
                <w:lang w:val="en-US" w:eastAsia="zh-CN" w:bidi="ar-SA"/>
              </w:rPr>
              <w:t>1、成交供应商所供货物必须是全新整套按国家或国际有关质量标准制造，且能满足本项目技术指标。</w:t>
            </w:r>
          </w:p>
          <w:p>
            <w:pPr>
              <w:pStyle w:val="8"/>
              <w:kinsoku w:val="0"/>
              <w:overflowPunct w:val="0"/>
              <w:spacing w:before="29"/>
              <w:rPr>
                <w:rFonts w:hint="eastAsia" w:ascii="宋体" w:hAnsi="宋体" w:eastAsiaTheme="minorEastAsia" w:cstheme="minorBidi"/>
                <w:kern w:val="2"/>
                <w:sz w:val="21"/>
                <w:szCs w:val="21"/>
                <w:lang w:val="en-US" w:eastAsia="zh-CN" w:bidi="ar-SA"/>
              </w:rPr>
            </w:pPr>
            <w:r>
              <w:rPr>
                <w:rFonts w:hint="eastAsia" w:ascii="宋体" w:hAnsi="宋体" w:eastAsiaTheme="minorEastAsia" w:cstheme="minorBidi"/>
                <w:kern w:val="2"/>
                <w:sz w:val="21"/>
                <w:szCs w:val="21"/>
                <w:lang w:val="en-US" w:eastAsia="zh-CN" w:bidi="ar-SA"/>
              </w:rPr>
              <w:t>2、成交供应商在货物验收时由采购人对照采购需求一览表中的技术参数全面核对检验，如不符合采购需求一览表中的技术需求及要求以及提供虚假承诺的，按相关规定做退货处理及违约处理，成交供应商承担所有责任和费用，采购人保留进一步追究责任的权利。</w:t>
            </w:r>
          </w:p>
          <w:p>
            <w:pPr>
              <w:pStyle w:val="8"/>
              <w:kinsoku w:val="0"/>
              <w:overflowPunct w:val="0"/>
              <w:spacing w:before="29"/>
              <w:rPr>
                <w:rFonts w:hint="eastAsia" w:ascii="宋体" w:hAnsi="宋体" w:eastAsiaTheme="minorEastAsia" w:cstheme="minorBidi"/>
                <w:kern w:val="2"/>
                <w:sz w:val="21"/>
                <w:szCs w:val="21"/>
                <w:lang w:val="en-US" w:eastAsia="zh-CN" w:bidi="ar-SA"/>
              </w:rPr>
            </w:pPr>
            <w:r>
              <w:rPr>
                <w:rFonts w:hint="eastAsia" w:ascii="宋体" w:hAnsi="宋体" w:eastAsiaTheme="minorEastAsia" w:cstheme="minorBidi"/>
                <w:kern w:val="2"/>
                <w:sz w:val="21"/>
                <w:szCs w:val="21"/>
                <w:lang w:val="en-US" w:eastAsia="zh-CN" w:bidi="ar-SA"/>
              </w:rPr>
              <w:t>3、产品到达现场后，成交供应商应在采购人人员在场情况下当面开箱，共同清点、检查外观，作出开箱记录，双方签字确认。成交供应商应保证货物到达采购人所在地完好无损，如有缺漏、损坏，由成交供应商负责调换、补齐或赔偿。</w:t>
            </w:r>
          </w:p>
          <w:p>
            <w:pPr>
              <w:pStyle w:val="8"/>
              <w:kinsoku w:val="0"/>
              <w:overflowPunct w:val="0"/>
              <w:spacing w:before="29"/>
              <w:rPr>
                <w:rFonts w:hint="eastAsia" w:ascii="宋体" w:hAnsi="宋体" w:eastAsiaTheme="minorEastAsia" w:cstheme="minorBidi"/>
                <w:kern w:val="2"/>
                <w:sz w:val="21"/>
                <w:szCs w:val="21"/>
                <w:lang w:val="en-US" w:eastAsia="zh-CN" w:bidi="ar-SA"/>
              </w:rPr>
            </w:pPr>
            <w:r>
              <w:rPr>
                <w:rFonts w:hint="eastAsia" w:ascii="宋体" w:hAnsi="宋体" w:eastAsiaTheme="minorEastAsia" w:cstheme="minorBidi"/>
                <w:kern w:val="2"/>
                <w:sz w:val="21"/>
                <w:szCs w:val="21"/>
                <w:lang w:val="en-US" w:eastAsia="zh-CN" w:bidi="ar-SA"/>
              </w:rPr>
              <w:t>4、成交供应商应提供完备的技术或服务资料、装箱单和合格证等，并派遣专业人员进行现场安装调试。验收合格条件如下：</w:t>
            </w:r>
          </w:p>
          <w:p>
            <w:pPr>
              <w:pStyle w:val="8"/>
              <w:kinsoku w:val="0"/>
              <w:overflowPunct w:val="0"/>
              <w:spacing w:before="29"/>
              <w:rPr>
                <w:rFonts w:hint="eastAsia" w:ascii="宋体" w:hAnsi="宋体" w:eastAsiaTheme="minorEastAsia" w:cstheme="minorBidi"/>
                <w:kern w:val="2"/>
                <w:sz w:val="21"/>
                <w:szCs w:val="21"/>
                <w:lang w:val="en-US" w:eastAsia="zh-CN" w:bidi="ar-SA"/>
              </w:rPr>
            </w:pPr>
            <w:r>
              <w:rPr>
                <w:rFonts w:hint="eastAsia" w:ascii="宋体" w:hAnsi="宋体" w:eastAsiaTheme="minorEastAsia" w:cstheme="minorBidi"/>
                <w:kern w:val="2"/>
                <w:sz w:val="21"/>
                <w:szCs w:val="21"/>
                <w:lang w:val="en-US" w:eastAsia="zh-CN" w:bidi="ar-SA"/>
              </w:rPr>
              <w:t>（1）货物的技术参数与响应文件中技术需求偏离表或证明材料一致，性能或指标达到规定的标准。</w:t>
            </w:r>
          </w:p>
          <w:p>
            <w:pPr>
              <w:pStyle w:val="8"/>
              <w:kinsoku w:val="0"/>
              <w:overflowPunct w:val="0"/>
              <w:spacing w:before="29"/>
              <w:rPr>
                <w:rFonts w:hint="eastAsia" w:ascii="宋体" w:hAnsi="宋体" w:eastAsiaTheme="minorEastAsia" w:cstheme="minorBidi"/>
                <w:kern w:val="2"/>
                <w:sz w:val="21"/>
                <w:szCs w:val="21"/>
                <w:lang w:val="en-US" w:eastAsia="zh-CN" w:bidi="ar-SA"/>
              </w:rPr>
            </w:pPr>
            <w:r>
              <w:rPr>
                <w:rFonts w:hint="eastAsia" w:ascii="宋体" w:hAnsi="宋体" w:eastAsiaTheme="minorEastAsia" w:cstheme="minorBidi"/>
                <w:kern w:val="2"/>
                <w:sz w:val="21"/>
                <w:szCs w:val="21"/>
                <w:lang w:val="en-US" w:eastAsia="zh-CN" w:bidi="ar-SA"/>
              </w:rPr>
              <w:t>（2）技术资料、装箱单、合格证等资料齐全。</w:t>
            </w:r>
          </w:p>
          <w:p>
            <w:pPr>
              <w:pStyle w:val="8"/>
              <w:kinsoku w:val="0"/>
              <w:overflowPunct w:val="0"/>
              <w:spacing w:before="29"/>
              <w:rPr>
                <w:rFonts w:hint="eastAsia" w:ascii="宋体" w:hAnsi="宋体" w:eastAsiaTheme="minorEastAsia" w:cstheme="minorBidi"/>
                <w:kern w:val="2"/>
                <w:sz w:val="21"/>
                <w:szCs w:val="21"/>
                <w:lang w:val="en-US" w:eastAsia="zh-CN" w:bidi="ar-SA"/>
              </w:rPr>
            </w:pPr>
            <w:r>
              <w:rPr>
                <w:rFonts w:hint="eastAsia" w:ascii="宋体" w:hAnsi="宋体" w:eastAsiaTheme="minorEastAsia" w:cstheme="minorBidi"/>
                <w:kern w:val="2"/>
                <w:sz w:val="21"/>
                <w:szCs w:val="21"/>
                <w:lang w:val="en-US" w:eastAsia="zh-CN" w:bidi="ar-SA"/>
              </w:rPr>
              <w:t>（3）在规定时间内完成交货及验收，并经采购人确认。</w:t>
            </w:r>
          </w:p>
          <w:p>
            <w:pPr>
              <w:pStyle w:val="8"/>
              <w:kinsoku w:val="0"/>
              <w:overflowPunct w:val="0"/>
              <w:spacing w:before="29"/>
              <w:rPr>
                <w:rFonts w:hint="eastAsia" w:ascii="宋体" w:hAnsi="宋体" w:eastAsiaTheme="minorEastAsia" w:cstheme="minorBidi"/>
                <w:kern w:val="2"/>
                <w:sz w:val="21"/>
                <w:szCs w:val="21"/>
                <w:lang w:val="en-US" w:eastAsia="zh-CN" w:bidi="ar-SA"/>
              </w:rPr>
            </w:pPr>
            <w:r>
              <w:rPr>
                <w:rFonts w:hint="eastAsia" w:ascii="宋体" w:hAnsi="宋体" w:eastAsiaTheme="minorEastAsia" w:cstheme="minorBidi"/>
                <w:kern w:val="2"/>
                <w:sz w:val="21"/>
                <w:szCs w:val="21"/>
                <w:lang w:val="en-US" w:eastAsia="zh-CN" w:bidi="ar-SA"/>
              </w:rPr>
              <w:t>5、产品或服务在安装调试并试用符合要求后，才作为最终验收。</w:t>
            </w:r>
          </w:p>
          <w:p>
            <w:pPr>
              <w:pStyle w:val="8"/>
              <w:kinsoku w:val="0"/>
              <w:overflowPunct w:val="0"/>
              <w:spacing w:before="29"/>
              <w:rPr>
                <w:rFonts w:hint="eastAsia" w:ascii="宋体" w:hAnsi="宋体" w:eastAsiaTheme="minorEastAsia" w:cstheme="minorBidi"/>
                <w:kern w:val="2"/>
                <w:sz w:val="21"/>
                <w:szCs w:val="21"/>
                <w:lang w:val="en-US" w:eastAsia="zh-CN" w:bidi="ar-SA"/>
              </w:rPr>
            </w:pPr>
            <w:r>
              <w:rPr>
                <w:rFonts w:hint="eastAsia" w:ascii="宋体" w:hAnsi="宋体" w:eastAsiaTheme="minorEastAsia" w:cstheme="minorBidi"/>
                <w:kern w:val="2"/>
                <w:sz w:val="21"/>
                <w:szCs w:val="21"/>
                <w:lang w:val="en-US" w:eastAsia="zh-CN" w:bidi="ar-SA"/>
              </w:rPr>
              <w:t>6、成交供应商提供的货物未达到采购文件规定要求，且对采购人造成损失的，由成交供应商承担一切责任，并赔偿所造成的损失。</w:t>
            </w:r>
          </w:p>
        </w:tc>
        <w:tc>
          <w:tcPr>
            <w:tcW w:w="3319" w:type="dxa"/>
            <w:tcBorders>
              <w:top w:val="single" w:color="auto" w:sz="4" w:space="0"/>
              <w:left w:val="single" w:color="auto" w:sz="4" w:space="0"/>
              <w:bottom w:val="single" w:color="auto" w:sz="4" w:space="0"/>
              <w:right w:val="single" w:color="auto" w:sz="4" w:space="0"/>
            </w:tcBorders>
            <w:vAlign w:val="center"/>
          </w:tcPr>
          <w:p>
            <w:pPr>
              <w:pStyle w:val="5"/>
              <w:rPr>
                <w:rFonts w:hint="eastAsia" w:asciiTheme="minorEastAsia" w:hAnsiTheme="minorEastAsia" w:cstheme="minorEastAsia"/>
                <w:color w:val="FF0000"/>
                <w:szCs w:val="21"/>
              </w:rPr>
            </w:pPr>
            <w:r>
              <w:rPr>
                <w:rFonts w:hint="eastAsia" w:asciiTheme="minorEastAsia" w:hAnsiTheme="minorEastAsia" w:cstheme="minorEastAsia"/>
                <w:color w:val="FF0000"/>
                <w:szCs w:val="21"/>
              </w:rPr>
              <w:t>请填入贵单位响应的内容。</w:t>
            </w:r>
          </w:p>
        </w:tc>
        <w:tc>
          <w:tcPr>
            <w:tcW w:w="1622" w:type="dxa"/>
            <w:tcBorders>
              <w:top w:val="single" w:color="auto" w:sz="4" w:space="0"/>
              <w:left w:val="single" w:color="auto" w:sz="4" w:space="0"/>
              <w:bottom w:val="single" w:color="auto" w:sz="4" w:space="0"/>
              <w:right w:val="single" w:color="auto" w:sz="4" w:space="0"/>
            </w:tcBorders>
            <w:vAlign w:val="center"/>
          </w:tcPr>
          <w:p>
            <w:pPr>
              <w:pStyle w:val="5"/>
              <w:rPr>
                <w:szCs w:val="21"/>
              </w:rPr>
            </w:pPr>
            <w:r>
              <w:rPr>
                <w:szCs w:val="21"/>
              </w:rPr>
              <w:t>正偏离（负偏离或无偏离）</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1" w:hRule="atLeast"/>
          <w:jc w:val="center"/>
        </w:trPr>
        <w:tc>
          <w:tcPr>
            <w:tcW w:w="9308" w:type="dxa"/>
            <w:gridSpan w:val="4"/>
            <w:tcBorders>
              <w:top w:val="single" w:color="auto" w:sz="4" w:space="0"/>
              <w:left w:val="single" w:color="auto" w:sz="4" w:space="0"/>
              <w:bottom w:val="single" w:color="auto" w:sz="4" w:space="0"/>
              <w:right w:val="single" w:color="auto" w:sz="4" w:space="0"/>
            </w:tcBorders>
          </w:tcPr>
          <w:p>
            <w:pPr>
              <w:pStyle w:val="5"/>
              <w:rPr>
                <w:szCs w:val="21"/>
              </w:rPr>
            </w:pPr>
            <w:r>
              <w:rPr>
                <w:rFonts w:hint="eastAsia"/>
                <w:szCs w:val="21"/>
              </w:rPr>
              <w:t>供应商</w:t>
            </w:r>
            <w:r>
              <w:rPr>
                <w:szCs w:val="21"/>
              </w:rPr>
              <w:t>人（盖单位公章）：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4" w:hRule="atLeast"/>
          <w:jc w:val="center"/>
        </w:trPr>
        <w:tc>
          <w:tcPr>
            <w:tcW w:w="9308" w:type="dxa"/>
            <w:gridSpan w:val="4"/>
            <w:tcBorders>
              <w:top w:val="single" w:color="auto" w:sz="4" w:space="0"/>
              <w:left w:val="single" w:color="auto" w:sz="4" w:space="0"/>
              <w:bottom w:val="single" w:color="auto" w:sz="4" w:space="0"/>
              <w:right w:val="single" w:color="auto" w:sz="4" w:space="0"/>
            </w:tcBorders>
          </w:tcPr>
          <w:p>
            <w:pPr>
              <w:pStyle w:val="5"/>
              <w:rPr>
                <w:szCs w:val="21"/>
              </w:rPr>
            </w:pPr>
            <w:r>
              <w:rPr>
                <w:szCs w:val="21"/>
              </w:rPr>
              <w:t>法定代表人或其委托代理人（签字或盖章）：</w:t>
            </w:r>
          </w:p>
        </w:tc>
      </w:tr>
    </w:tbl>
    <w:p>
      <w:pPr>
        <w:pStyle w:val="5"/>
        <w:rPr>
          <w:szCs w:val="21"/>
        </w:rPr>
      </w:pPr>
      <w:r>
        <w:rPr>
          <w:szCs w:val="21"/>
        </w:rPr>
        <w:t>注：</w:t>
      </w:r>
      <w:r>
        <w:rPr>
          <w:rFonts w:asciiTheme="minorEastAsia" w:hAnsiTheme="minorEastAsia"/>
          <w:szCs w:val="21"/>
        </w:rPr>
        <w:t>⑴</w:t>
      </w:r>
      <w:r>
        <w:rPr>
          <w:szCs w:val="21"/>
        </w:rPr>
        <w:t>表格内容均需按要求填写并盖章，不得留空，</w:t>
      </w:r>
      <w:r>
        <w:rPr>
          <w:bCs/>
          <w:szCs w:val="21"/>
        </w:rPr>
        <w:t>否则按投标无效处理</w:t>
      </w:r>
      <w:r>
        <w:rPr>
          <w:szCs w:val="21"/>
        </w:rPr>
        <w:t>。</w:t>
      </w:r>
    </w:p>
    <w:p>
      <w:pPr>
        <w:pStyle w:val="5"/>
        <w:rPr>
          <w:bCs/>
          <w:szCs w:val="21"/>
        </w:rPr>
      </w:pPr>
      <w:r>
        <w:rPr>
          <w:rFonts w:asciiTheme="minorEastAsia" w:hAnsiTheme="minorEastAsia"/>
          <w:bCs/>
          <w:szCs w:val="21"/>
        </w:rPr>
        <w:t>⑵</w:t>
      </w:r>
      <w:r>
        <w:rPr>
          <w:bCs/>
          <w:szCs w:val="21"/>
        </w:rPr>
        <w:t>如果</w:t>
      </w:r>
      <w:r>
        <w:rPr>
          <w:rFonts w:hint="eastAsia"/>
          <w:bCs/>
          <w:szCs w:val="21"/>
        </w:rPr>
        <w:t>采购</w:t>
      </w:r>
      <w:r>
        <w:rPr>
          <w:bCs/>
          <w:szCs w:val="21"/>
        </w:rPr>
        <w:t>文件需求为小于或大于某个数值标准时，</w:t>
      </w:r>
      <w:r>
        <w:rPr>
          <w:rFonts w:hint="eastAsia"/>
          <w:bCs/>
          <w:szCs w:val="21"/>
        </w:rPr>
        <w:t>响应</w:t>
      </w:r>
      <w:r>
        <w:rPr>
          <w:bCs/>
          <w:szCs w:val="21"/>
        </w:rPr>
        <w:t>文件承诺内容应当写明商务响应承诺的具体</w:t>
      </w:r>
      <w:r>
        <w:rPr>
          <w:rFonts w:hint="eastAsia"/>
          <w:bCs/>
          <w:szCs w:val="21"/>
        </w:rPr>
        <w:t>内容</w:t>
      </w:r>
      <w:r>
        <w:rPr>
          <w:bCs/>
          <w:szCs w:val="21"/>
        </w:rPr>
        <w:t>，否则按无效</w:t>
      </w:r>
      <w:r>
        <w:rPr>
          <w:rFonts w:hint="eastAsia"/>
          <w:bCs/>
          <w:szCs w:val="21"/>
        </w:rPr>
        <w:t>响应</w:t>
      </w:r>
      <w:r>
        <w:rPr>
          <w:bCs/>
          <w:szCs w:val="21"/>
        </w:rPr>
        <w:t>处理。</w:t>
      </w:r>
    </w:p>
    <w:p>
      <w:pPr>
        <w:pStyle w:val="5"/>
        <w:rPr>
          <w:szCs w:val="21"/>
        </w:rPr>
      </w:pPr>
      <w:r>
        <w:rPr>
          <w:rFonts w:asciiTheme="minorEastAsia" w:hAnsiTheme="minorEastAsia"/>
          <w:szCs w:val="21"/>
        </w:rPr>
        <w:t>⑶</w:t>
      </w:r>
      <w:r>
        <w:rPr>
          <w:szCs w:val="21"/>
        </w:rPr>
        <w:t>当</w:t>
      </w:r>
      <w:r>
        <w:rPr>
          <w:rFonts w:hint="eastAsia"/>
          <w:szCs w:val="21"/>
        </w:rPr>
        <w:t>响应</w:t>
      </w:r>
      <w:r>
        <w:rPr>
          <w:szCs w:val="21"/>
        </w:rPr>
        <w:t>文件的商务内容低于</w:t>
      </w:r>
      <w:r>
        <w:rPr>
          <w:rFonts w:hint="eastAsia"/>
          <w:szCs w:val="21"/>
        </w:rPr>
        <w:t>采购</w:t>
      </w:r>
      <w:r>
        <w:rPr>
          <w:szCs w:val="21"/>
        </w:rPr>
        <w:t>文件要求时，</w:t>
      </w:r>
      <w:r>
        <w:rPr>
          <w:rFonts w:hint="eastAsia"/>
          <w:szCs w:val="21"/>
        </w:rPr>
        <w:t>供应商</w:t>
      </w:r>
      <w:r>
        <w:rPr>
          <w:szCs w:val="21"/>
        </w:rPr>
        <w:t>人应当如实写明“负偏离”，否则视为虚假</w:t>
      </w:r>
      <w:r>
        <w:rPr>
          <w:rFonts w:hint="eastAsia"/>
          <w:szCs w:val="21"/>
        </w:rPr>
        <w:t>响应</w:t>
      </w:r>
      <w:r>
        <w:rPr>
          <w:szCs w:val="21"/>
        </w:rPr>
        <w:t>。</w:t>
      </w:r>
    </w:p>
    <w:p>
      <w:pPr>
        <w:pStyle w:val="3"/>
      </w:pPr>
    </w:p>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315620E"/>
    <w:multiLevelType w:val="multilevel"/>
    <w:tmpl w:val="0315620E"/>
    <w:lvl w:ilvl="0" w:tentative="0">
      <w:start w:val="1"/>
      <w:numFmt w:val="decimal"/>
      <w:lvlText w:val="%1"/>
      <w:lvlJc w:val="left"/>
      <w:pPr>
        <w:tabs>
          <w:tab w:val="left" w:pos="360"/>
        </w:tabs>
        <w:ind w:left="284" w:hanging="284"/>
      </w:pPr>
      <w:rPr>
        <w:rFonts w:hint="default" w:ascii="Times New Roman" w:hAnsi="Times New Roman"/>
        <w:b/>
        <w:i w:val="0"/>
        <w:sz w:val="28"/>
      </w:rPr>
    </w:lvl>
    <w:lvl w:ilvl="1" w:tentative="0">
      <w:start w:val="1"/>
      <w:numFmt w:val="decimal"/>
      <w:lvlText w:val="%1.%2"/>
      <w:lvlJc w:val="left"/>
      <w:pPr>
        <w:tabs>
          <w:tab w:val="left" w:pos="1021"/>
        </w:tabs>
        <w:ind w:left="1021" w:hanging="596"/>
      </w:pPr>
      <w:rPr>
        <w:rFonts w:hint="default" w:ascii="Times New Roman" w:hAnsi="Times New Roman"/>
        <w:b/>
        <w:i w:val="0"/>
        <w:sz w:val="28"/>
      </w:rPr>
    </w:lvl>
    <w:lvl w:ilvl="2" w:tentative="0">
      <w:start w:val="1"/>
      <w:numFmt w:val="decimal"/>
      <w:lvlText w:val="%1.%2.%3"/>
      <w:lvlJc w:val="left"/>
      <w:pPr>
        <w:tabs>
          <w:tab w:val="left" w:pos="1588"/>
        </w:tabs>
        <w:ind w:left="1588" w:hanging="737"/>
      </w:pPr>
      <w:rPr>
        <w:rFonts w:hint="default" w:ascii="Times New Roman" w:hAnsi="Times New Roman"/>
        <w:b/>
        <w:i w:val="0"/>
        <w:sz w:val="24"/>
      </w:rPr>
    </w:lvl>
    <w:lvl w:ilvl="3" w:tentative="0">
      <w:start w:val="1"/>
      <w:numFmt w:val="decimal"/>
      <w:pStyle w:val="4"/>
      <w:lvlText w:val="%1.%2.%3.%4"/>
      <w:lvlJc w:val="left"/>
      <w:pPr>
        <w:tabs>
          <w:tab w:val="left" w:pos="2155"/>
        </w:tabs>
        <w:ind w:left="2155" w:hanging="1078"/>
      </w:pPr>
      <w:rPr>
        <w:rFonts w:hint="default" w:ascii="Arial" w:hAnsi="Arial"/>
        <w:b w:val="0"/>
        <w:i w:val="0"/>
        <w:sz w:val="24"/>
      </w:rPr>
    </w:lvl>
    <w:lvl w:ilvl="4" w:tentative="0">
      <w:start w:val="1"/>
      <w:numFmt w:val="decimal"/>
      <w:lvlText w:val="%1.%2.%3.%4.%5"/>
      <w:lvlJc w:val="left"/>
      <w:pPr>
        <w:tabs>
          <w:tab w:val="left" w:pos="3141"/>
        </w:tabs>
        <w:ind w:left="2551" w:hanging="850"/>
      </w:pPr>
      <w:rPr>
        <w:rFonts w:hint="eastAsia"/>
      </w:rPr>
    </w:lvl>
    <w:lvl w:ilvl="5" w:tentative="0">
      <w:start w:val="1"/>
      <w:numFmt w:val="decimal"/>
      <w:lvlText w:val="%1.%2.%3.%4.%5.%6"/>
      <w:lvlJc w:val="left"/>
      <w:pPr>
        <w:tabs>
          <w:tab w:val="left" w:pos="3566"/>
        </w:tabs>
        <w:ind w:left="3260" w:hanging="1134"/>
      </w:pPr>
      <w:rPr>
        <w:rFonts w:hint="eastAsia"/>
      </w:rPr>
    </w:lvl>
    <w:lvl w:ilvl="6" w:tentative="0">
      <w:start w:val="1"/>
      <w:numFmt w:val="decimal"/>
      <w:lvlText w:val="%1.%2.%3.%4.%5.%6.%7"/>
      <w:lvlJc w:val="left"/>
      <w:pPr>
        <w:tabs>
          <w:tab w:val="left" w:pos="4351"/>
        </w:tabs>
        <w:ind w:left="3827" w:hanging="1276"/>
      </w:pPr>
      <w:rPr>
        <w:rFonts w:hint="eastAsia"/>
      </w:rPr>
    </w:lvl>
    <w:lvl w:ilvl="7" w:tentative="0">
      <w:start w:val="1"/>
      <w:numFmt w:val="decimal"/>
      <w:lvlText w:val="%1.%2.%3.%4.%5.%6.%7.%8"/>
      <w:lvlJc w:val="left"/>
      <w:pPr>
        <w:tabs>
          <w:tab w:val="left" w:pos="5136"/>
        </w:tabs>
        <w:ind w:left="4394" w:hanging="1418"/>
      </w:pPr>
      <w:rPr>
        <w:rFonts w:hint="eastAsia"/>
      </w:rPr>
    </w:lvl>
    <w:lvl w:ilvl="8" w:tentative="0">
      <w:start w:val="1"/>
      <w:numFmt w:val="decimal"/>
      <w:lvlText w:val="%1.%2.%3.%4.%5.%6.%7.%8.%9"/>
      <w:lvlJc w:val="left"/>
      <w:pPr>
        <w:tabs>
          <w:tab w:val="left" w:pos="5562"/>
        </w:tabs>
        <w:ind w:left="5102" w:hanging="1700"/>
      </w:pPr>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3"/>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TEzZWI4NDMyYWM1NTVmYTViNTkyNDAxYTQ4NmE5OGEifQ=="/>
  </w:docVars>
  <w:rsids>
    <w:rsidRoot w:val="38A43E08"/>
    <w:rsid w:val="38A43E0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iPriority="99"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4">
    <w:name w:val="heading 4"/>
    <w:basedOn w:val="1"/>
    <w:next w:val="1"/>
    <w:qFormat/>
    <w:uiPriority w:val="0"/>
    <w:pPr>
      <w:numPr>
        <w:ilvl w:val="3"/>
        <w:numId w:val="1"/>
      </w:numPr>
      <w:adjustRightInd w:val="0"/>
      <w:spacing w:before="120" w:line="360" w:lineRule="auto"/>
      <w:textAlignment w:val="baseline"/>
      <w:outlineLvl w:val="3"/>
    </w:pPr>
    <w:rPr>
      <w:rFonts w:ascii="Arial" w:eastAsia="黑体"/>
      <w:kern w:val="0"/>
      <w:sz w:val="28"/>
      <w:szCs w:val="20"/>
    </w:rPr>
  </w:style>
  <w:style w:type="character" w:default="1" w:styleId="7">
    <w:name w:val="Default Paragraph Font"/>
    <w:semiHidden/>
    <w:qFormat/>
    <w:uiPriority w:val="0"/>
  </w:style>
  <w:style w:type="table" w:default="1" w:styleId="6">
    <w:name w:val="Normal Table"/>
    <w:semiHidden/>
    <w:qFormat/>
    <w:uiPriority w:val="0"/>
    <w:tblPr>
      <w:tblCellMar>
        <w:top w:w="0" w:type="dxa"/>
        <w:left w:w="108" w:type="dxa"/>
        <w:bottom w:w="0" w:type="dxa"/>
        <w:right w:w="108" w:type="dxa"/>
      </w:tblCellMar>
    </w:tblPr>
  </w:style>
  <w:style w:type="paragraph" w:styleId="2">
    <w:name w:val="Body Text First Indent"/>
    <w:basedOn w:val="3"/>
    <w:qFormat/>
    <w:uiPriority w:val="0"/>
    <w:pPr>
      <w:ind w:firstLine="420" w:firstLineChars="100"/>
    </w:pPr>
  </w:style>
  <w:style w:type="paragraph" w:styleId="3">
    <w:name w:val="Body Text"/>
    <w:basedOn w:val="1"/>
    <w:unhideWhenUsed/>
    <w:qFormat/>
    <w:uiPriority w:val="99"/>
    <w:pPr>
      <w:spacing w:after="120"/>
    </w:pPr>
    <w:rPr>
      <w:rFonts w:ascii="Times New Roman" w:hAnsi="Times New Roman"/>
    </w:rPr>
  </w:style>
  <w:style w:type="paragraph" w:styleId="5">
    <w:name w:val="Plain Text"/>
    <w:basedOn w:val="1"/>
    <w:next w:val="4"/>
    <w:qFormat/>
    <w:uiPriority w:val="0"/>
    <w:rPr>
      <w:rFonts w:ascii="宋体" w:hAnsi="Courier New"/>
      <w:szCs w:val="20"/>
    </w:rPr>
  </w:style>
  <w:style w:type="paragraph" w:customStyle="1" w:styleId="8">
    <w:name w:val="Table Paragraph"/>
    <w:basedOn w:val="1"/>
    <w:unhideWhenUsed/>
    <w:qFormat/>
    <w:uiPriority w:val="1"/>
    <w:rPr>
      <w:rFonts w:hint="eastAsia"/>
      <w:sz w:val="24"/>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Office_12.1.0.15398_F1E327BC-269C-435d-A152-05C5408002CA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2023-10-20T10:02:00Z</dcterms:created>
  <dc:creator>WPS</dc:creator>
  <cp:lastModifiedBy>WPS</cp:lastModifiedBy>
  <dcterms:modified xsi:type="dcterms:W3CDTF">2023-10-20T10:02:45Z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2052-12.1.0.15398</vt:lpwstr>
  </property>
  <property fmtid="{D5CDD505-2E9C-101B-9397-08002B2CF9AE}" pid="3" name="ICV">
    <vt:lpwstr>AC1488AEA1E04D93A3261E3B58BF481A_11</vt:lpwstr>
  </property>
</Properties>
</file>