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宋体" w:hAnsi="宋体" w:eastAsia="宋体" w:cs="宋体"/>
          <w:sz w:val="28"/>
          <w:szCs w:val="28"/>
        </w:rPr>
      </w:pPr>
      <w:r>
        <w:rPr>
          <w:rFonts w:hint="eastAsia" w:ascii="宋体" w:hAnsi="宋体" w:eastAsia="宋体" w:cs="宋体"/>
          <w:sz w:val="28"/>
          <w:szCs w:val="28"/>
        </w:rPr>
        <w:t>附件1</w:t>
      </w:r>
    </w:p>
    <w:p>
      <w:pPr>
        <w:pStyle w:val="2"/>
        <w:numPr>
          <w:ilvl w:val="3"/>
          <w:numId w:val="0"/>
        </w:numPr>
        <w:ind w:left="1075" w:hanging="1075" w:hangingChars="336"/>
        <w:jc w:val="center"/>
        <w:rPr>
          <w:rFonts w:hint="eastAsia"/>
          <w:sz w:val="32"/>
          <w:szCs w:val="32"/>
        </w:rPr>
      </w:pPr>
      <w:r>
        <w:rPr>
          <w:rFonts w:hint="eastAsia"/>
          <w:sz w:val="32"/>
          <w:szCs w:val="32"/>
        </w:rPr>
        <w:t>采购需求一览表</w:t>
      </w:r>
    </w:p>
    <w:p>
      <w:r>
        <w:rPr>
          <w:rFonts w:hint="eastAsia"/>
        </w:rPr>
        <w:t>说明：本采购需求一览表中标注▲号的内容为实质性要求和条件，响应人必须满足或优于，不满足或负偏离视为无效响应</w:t>
      </w:r>
      <w:r>
        <w:rPr>
          <w:rFonts w:hint="eastAsia"/>
          <w:lang w:eastAsia="zh-CN"/>
        </w:rPr>
        <w:t>；</w:t>
      </w:r>
      <w:r>
        <w:rPr>
          <w:rFonts w:hint="eastAsia"/>
        </w:rPr>
        <w:t>未标注▲号的条款和要求，不满足或负偏离达</w:t>
      </w:r>
      <w:r>
        <w:rPr>
          <w:rFonts w:hint="eastAsia"/>
          <w:highlight w:val="yellow"/>
        </w:rPr>
        <w:t>2项（</w:t>
      </w:r>
      <w:r>
        <w:rPr>
          <w:rFonts w:hint="eastAsia"/>
        </w:rPr>
        <w:t>含）以上的，视为无效响应。</w:t>
      </w:r>
    </w:p>
    <w:tbl>
      <w:tblPr>
        <w:tblStyle w:val="5"/>
        <w:tblW w:w="5702"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564"/>
        <w:gridCol w:w="1108"/>
        <w:gridCol w:w="1122"/>
        <w:gridCol w:w="5741"/>
        <w:gridCol w:w="1066"/>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294"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hAnsi="宋体"/>
                <w:b/>
                <w:szCs w:val="21"/>
              </w:rPr>
            </w:pPr>
            <w:r>
              <w:rPr>
                <w:rFonts w:hint="eastAsia" w:ascii="宋体" w:hAnsi="宋体"/>
                <w:b/>
                <w:szCs w:val="21"/>
              </w:rPr>
              <w:t>项号</w:t>
            </w:r>
          </w:p>
        </w:tc>
        <w:tc>
          <w:tcPr>
            <w:tcW w:w="577"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rPr>
              <w:t>货物名称</w:t>
            </w:r>
          </w:p>
        </w:tc>
        <w:tc>
          <w:tcPr>
            <w:tcW w:w="584"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rPr>
              <w:t>数量</w:t>
            </w:r>
          </w:p>
        </w:tc>
        <w:tc>
          <w:tcPr>
            <w:tcW w:w="2987"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rPr>
              <w:t>技术参数</w:t>
            </w:r>
          </w:p>
        </w:tc>
        <w:tc>
          <w:tcPr>
            <w:tcW w:w="555"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rPr>
              <w:t>预算合价（元）</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8" w:hRule="atLeast"/>
          <w:jc w:val="center"/>
        </w:trPr>
        <w:tc>
          <w:tcPr>
            <w:tcW w:w="294"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Theme="minorEastAsia" w:hAnsiTheme="minorEastAsia" w:cstheme="minorEastAsia"/>
                <w:szCs w:val="21"/>
              </w:rPr>
            </w:pPr>
            <w:r>
              <w:rPr>
                <w:rFonts w:hint="eastAsia" w:asciiTheme="minorEastAsia" w:hAnsiTheme="minorEastAsia" w:cstheme="minorEastAsia"/>
                <w:szCs w:val="21"/>
              </w:rPr>
              <w:t>1</w:t>
            </w:r>
          </w:p>
        </w:tc>
        <w:tc>
          <w:tcPr>
            <w:tcW w:w="577" w:type="pct"/>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textAlignment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花生油</w:t>
            </w:r>
          </w:p>
        </w:tc>
        <w:tc>
          <w:tcPr>
            <w:tcW w:w="584" w:type="pct"/>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heme="minorEastAsia" w:hAnsiTheme="minorEastAsia" w:cstheme="minorEastAsia"/>
                <w:szCs w:val="21"/>
                <w:lang w:val="en-US"/>
              </w:rPr>
            </w:pPr>
            <w:r>
              <w:rPr>
                <w:rFonts w:hint="eastAsia" w:asciiTheme="minorEastAsia" w:hAnsiTheme="minorEastAsia" w:cstheme="minorEastAsia"/>
                <w:szCs w:val="21"/>
                <w:lang w:val="en-US" w:eastAsia="zh-CN"/>
              </w:rPr>
              <w:t>900瓶</w:t>
            </w:r>
          </w:p>
        </w:tc>
        <w:tc>
          <w:tcPr>
            <w:tcW w:w="2987" w:type="pct"/>
            <w:tcBorders>
              <w:top w:val="single" w:color="auto" w:sz="4" w:space="0"/>
              <w:left w:val="single" w:color="auto" w:sz="4" w:space="0"/>
              <w:bottom w:val="single" w:color="auto" w:sz="4" w:space="0"/>
              <w:right w:val="single" w:color="auto" w:sz="4" w:space="0"/>
            </w:tcBorders>
            <w:vAlign w:val="center"/>
          </w:tcPr>
          <w:p>
            <w:pPr>
              <w:pStyle w:val="3"/>
              <w:numPr>
                <w:ilvl w:val="0"/>
                <w:numId w:val="2"/>
              </w:numPr>
              <w:ind w:left="13"/>
              <w:rPr>
                <w:rFonts w:hint="eastAsia" w:ascii="宋体" w:hAnsi="宋体" w:eastAsia="宋体" w:cs="宋体"/>
                <w:lang w:val="en-US" w:eastAsia="zh-CN"/>
              </w:rPr>
            </w:pPr>
            <w:r>
              <w:rPr>
                <w:rFonts w:hint="eastAsia" w:ascii="宋体" w:hAnsi="宋体" w:eastAsia="宋体" w:cs="宋体"/>
                <w:lang w:val="en-US" w:eastAsia="zh-CN"/>
              </w:rPr>
              <w:t>产品规格：≥1.8升</w:t>
            </w:r>
          </w:p>
          <w:p>
            <w:pPr>
              <w:pStyle w:val="3"/>
              <w:numPr>
                <w:ilvl w:val="0"/>
                <w:numId w:val="2"/>
              </w:numPr>
              <w:ind w:left="13"/>
              <w:rPr>
                <w:rFonts w:hint="default" w:ascii="宋体" w:hAnsi="宋体" w:eastAsia="宋体" w:cs="宋体"/>
                <w:lang w:val="en-US" w:eastAsia="zh-CN"/>
              </w:rPr>
            </w:pPr>
            <w:r>
              <w:rPr>
                <w:rFonts w:hint="eastAsia" w:ascii="宋体" w:hAnsi="宋体" w:eastAsia="宋体" w:cs="宋体"/>
                <w:lang w:val="en-US" w:eastAsia="zh-CN"/>
              </w:rPr>
              <w:t>主要原料：花生油</w:t>
            </w:r>
          </w:p>
          <w:p>
            <w:pPr>
              <w:pStyle w:val="3"/>
              <w:numPr>
                <w:ilvl w:val="0"/>
                <w:numId w:val="2"/>
              </w:numPr>
              <w:ind w:left="13"/>
              <w:rPr>
                <w:rFonts w:hint="default" w:ascii="宋体" w:hAnsi="宋体" w:eastAsia="宋体" w:cs="宋体"/>
                <w:vertAlign w:val="baseline"/>
                <w:lang w:val="en-US" w:eastAsia="zh-CN"/>
              </w:rPr>
            </w:pPr>
            <w:r>
              <w:rPr>
                <w:rFonts w:hint="eastAsia" w:ascii="宋体" w:hAnsi="宋体" w:eastAsia="宋体" w:cs="宋体"/>
                <w:lang w:val="en-US" w:eastAsia="zh-CN"/>
              </w:rPr>
              <w:t>营养成分要求：</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12"/>
              <w:gridCol w:w="16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12" w:type="dxa"/>
                </w:tcPr>
                <w:p>
                  <w:pPr>
                    <w:pStyle w:val="3"/>
                    <w:numPr>
                      <w:ilvl w:val="0"/>
                      <w:numId w:val="0"/>
                    </w:numPr>
                    <w:jc w:val="both"/>
                    <w:rPr>
                      <w:rFonts w:hint="default" w:ascii="宋体" w:hAnsi="宋体" w:eastAsia="宋体" w:cs="宋体"/>
                      <w:vertAlign w:val="baseline"/>
                      <w:lang w:val="en-US" w:eastAsia="zh-CN"/>
                    </w:rPr>
                  </w:pPr>
                  <w:r>
                    <w:rPr>
                      <w:rFonts w:hint="eastAsia" w:ascii="宋体" w:hAnsi="宋体" w:eastAsia="宋体" w:cs="宋体"/>
                      <w:vertAlign w:val="baseline"/>
                      <w:lang w:val="en-US" w:eastAsia="zh-CN"/>
                    </w:rPr>
                    <w:t>项目</w:t>
                  </w:r>
                </w:p>
              </w:tc>
              <w:tc>
                <w:tcPr>
                  <w:tcW w:w="1619" w:type="dxa"/>
                </w:tcPr>
                <w:p>
                  <w:pPr>
                    <w:pStyle w:val="3"/>
                    <w:numPr>
                      <w:ilvl w:val="0"/>
                      <w:numId w:val="0"/>
                    </w:numPr>
                    <w:jc w:val="center"/>
                    <w:rPr>
                      <w:rFonts w:hint="default" w:ascii="宋体" w:hAnsi="宋体" w:eastAsia="宋体" w:cs="宋体"/>
                      <w:vertAlign w:val="baseline"/>
                      <w:lang w:val="en-US" w:eastAsia="zh-CN"/>
                    </w:rPr>
                  </w:pPr>
                  <w:r>
                    <w:rPr>
                      <w:rFonts w:hint="eastAsia" w:ascii="宋体" w:hAnsi="宋体" w:eastAsia="宋体" w:cs="宋体"/>
                      <w:vertAlign w:val="baseline"/>
                      <w:lang w:val="en-US" w:eastAsia="zh-CN"/>
                    </w:rPr>
                    <w:t>每100克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12" w:type="dxa"/>
                </w:tcPr>
                <w:p>
                  <w:pPr>
                    <w:pStyle w:val="3"/>
                    <w:numPr>
                      <w:ilvl w:val="0"/>
                      <w:numId w:val="0"/>
                    </w:numPr>
                    <w:jc w:val="left"/>
                    <w:rPr>
                      <w:rFonts w:hint="default" w:ascii="宋体" w:hAnsi="宋体" w:eastAsia="宋体" w:cs="宋体"/>
                      <w:vertAlign w:val="baseline"/>
                      <w:lang w:val="en-US" w:eastAsia="zh-CN"/>
                    </w:rPr>
                  </w:pPr>
                  <w:r>
                    <w:rPr>
                      <w:rFonts w:hint="eastAsia" w:ascii="宋体" w:hAnsi="宋体" w:eastAsia="宋体" w:cs="宋体"/>
                      <w:vertAlign w:val="baseline"/>
                      <w:lang w:val="en-US" w:eastAsia="zh-CN"/>
                    </w:rPr>
                    <w:t>能量</w:t>
                  </w:r>
                </w:p>
              </w:tc>
              <w:tc>
                <w:tcPr>
                  <w:tcW w:w="1619" w:type="dxa"/>
                </w:tcPr>
                <w:p>
                  <w:pPr>
                    <w:pStyle w:val="3"/>
                    <w:numPr>
                      <w:ilvl w:val="0"/>
                      <w:numId w:val="0"/>
                    </w:numPr>
                    <w:jc w:val="left"/>
                    <w:rPr>
                      <w:rFonts w:hint="default" w:ascii="宋体" w:hAnsi="宋体" w:eastAsia="宋体" w:cs="宋体"/>
                      <w:vertAlign w:val="baseline"/>
                      <w:lang w:val="en-US" w:eastAsia="zh-CN"/>
                    </w:rPr>
                  </w:pPr>
                  <w:r>
                    <w:rPr>
                      <w:rFonts w:hint="eastAsia" w:ascii="宋体" w:hAnsi="宋体" w:eastAsia="宋体" w:cs="宋体"/>
                      <w:vertAlign w:val="baseline"/>
                      <w:lang w:val="en-US" w:eastAsia="zh-CN"/>
                    </w:rPr>
                    <w:t>≥3700千焦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12" w:type="dxa"/>
                </w:tcPr>
                <w:p>
                  <w:pPr>
                    <w:pStyle w:val="3"/>
                    <w:numPr>
                      <w:ilvl w:val="0"/>
                      <w:numId w:val="0"/>
                    </w:numPr>
                    <w:jc w:val="left"/>
                    <w:rPr>
                      <w:rFonts w:hint="default" w:ascii="宋体" w:hAnsi="宋体" w:eastAsia="宋体" w:cs="宋体"/>
                      <w:vertAlign w:val="baseline"/>
                      <w:lang w:val="en-US" w:eastAsia="zh-CN"/>
                    </w:rPr>
                  </w:pPr>
                  <w:r>
                    <w:rPr>
                      <w:rFonts w:hint="eastAsia" w:ascii="宋体" w:hAnsi="宋体" w:eastAsia="宋体" w:cs="宋体"/>
                      <w:vertAlign w:val="baseline"/>
                      <w:lang w:val="en-US" w:eastAsia="zh-CN"/>
                    </w:rPr>
                    <w:t>蛋白质</w:t>
                  </w:r>
                </w:p>
              </w:tc>
              <w:tc>
                <w:tcPr>
                  <w:tcW w:w="1619" w:type="dxa"/>
                </w:tcPr>
                <w:p>
                  <w:pPr>
                    <w:pStyle w:val="3"/>
                    <w:numPr>
                      <w:ilvl w:val="0"/>
                      <w:numId w:val="0"/>
                    </w:numPr>
                    <w:jc w:val="left"/>
                    <w:rPr>
                      <w:rFonts w:hint="default" w:ascii="宋体" w:hAnsi="宋体" w:eastAsia="宋体" w:cs="宋体"/>
                      <w:vertAlign w:val="baseline"/>
                      <w:lang w:val="en-US" w:eastAsia="zh-CN"/>
                    </w:rPr>
                  </w:pPr>
                  <w:r>
                    <w:rPr>
                      <w:rFonts w:hint="eastAsia" w:ascii="宋体" w:hAnsi="宋体" w:eastAsia="宋体" w:cs="宋体"/>
                      <w:vertAlign w:val="baseline"/>
                      <w:lang w:val="en-US" w:eastAsia="zh-CN"/>
                    </w:rPr>
                    <w:t>0克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exact"/>
              </w:trPr>
              <w:tc>
                <w:tcPr>
                  <w:tcW w:w="1912" w:type="dxa"/>
                </w:tcPr>
                <w:p>
                  <w:pPr>
                    <w:pStyle w:val="3"/>
                    <w:numPr>
                      <w:ilvl w:val="0"/>
                      <w:numId w:val="0"/>
                    </w:numPr>
                    <w:jc w:val="left"/>
                    <w:rPr>
                      <w:rFonts w:hint="default" w:ascii="宋体" w:hAnsi="宋体" w:eastAsia="宋体" w:cs="宋体"/>
                      <w:vertAlign w:val="baseline"/>
                      <w:lang w:val="en-US" w:eastAsia="zh-CN"/>
                    </w:rPr>
                  </w:pPr>
                  <w:r>
                    <w:rPr>
                      <w:rFonts w:hint="eastAsia" w:ascii="宋体" w:hAnsi="宋体" w:eastAsia="宋体" w:cs="宋体"/>
                      <w:vertAlign w:val="baseline"/>
                      <w:lang w:val="en-US" w:eastAsia="zh-CN"/>
                    </w:rPr>
                    <w:t>脂肪</w:t>
                  </w:r>
                  <w:r>
                    <w:rPr>
                      <w:rFonts w:hint="eastAsia" w:ascii="宋体" w:hAnsi="宋体" w:eastAsia="宋体" w:cs="宋体"/>
                      <w:vertAlign w:val="baseline"/>
                      <w:lang w:val="en-US" w:eastAsia="zh-CN"/>
                    </w:rPr>
                    <w:br w:type="textWrapping"/>
                  </w:r>
                </w:p>
              </w:tc>
              <w:tc>
                <w:tcPr>
                  <w:tcW w:w="1619" w:type="dxa"/>
                </w:tcPr>
                <w:p>
                  <w:pPr>
                    <w:pStyle w:val="3"/>
                    <w:numPr>
                      <w:ilvl w:val="0"/>
                      <w:numId w:val="0"/>
                    </w:numPr>
                    <w:jc w:val="left"/>
                    <w:rPr>
                      <w:rFonts w:hint="default" w:ascii="宋体" w:hAnsi="宋体" w:eastAsia="宋体" w:cs="宋体"/>
                      <w:vertAlign w:val="baseline"/>
                      <w:lang w:val="en-US" w:eastAsia="zh-CN"/>
                    </w:rPr>
                  </w:pPr>
                  <w:r>
                    <w:rPr>
                      <w:rFonts w:hint="eastAsia" w:ascii="宋体" w:hAnsi="宋体" w:eastAsia="宋体" w:cs="宋体"/>
                      <w:vertAlign w:val="baseline"/>
                      <w:lang w:val="en-US" w:eastAsia="zh-CN"/>
                    </w:rPr>
                    <w:t>100克</w:t>
                  </w:r>
                  <w:r>
                    <w:rPr>
                      <w:rFonts w:hint="eastAsia" w:ascii="宋体" w:hAnsi="宋体" w:eastAsia="宋体" w:cs="宋体"/>
                      <w:vertAlign w:val="baseline"/>
                      <w:lang w:val="en-US" w:eastAsia="zh-CN"/>
                    </w:rPr>
                    <w:br w:type="textWrapping"/>
                  </w:r>
                  <w:r>
                    <w:rPr>
                      <w:rFonts w:hint="eastAsia" w:ascii="宋体" w:hAnsi="宋体" w:eastAsia="宋体" w:cs="宋体"/>
                      <w:vertAlign w:val="baseline"/>
                      <w:lang w:val="en-US" w:eastAsia="zh-CN"/>
                    </w:rPr>
                    <w:br w:type="textWrapping"/>
                  </w:r>
                  <w:r>
                    <w:rPr>
                      <w:rFonts w:hint="eastAsia" w:ascii="宋体" w:hAnsi="宋体" w:eastAsia="宋体" w:cs="宋体"/>
                      <w:vertAlign w:val="baseline"/>
                      <w:lang w:val="en-US" w:eastAsia="zh-CN"/>
                    </w:rPr>
                    <w:br w:type="textWrapp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1912" w:type="dxa"/>
                </w:tcPr>
                <w:p>
                  <w:pPr>
                    <w:pStyle w:val="3"/>
                    <w:numPr>
                      <w:ilvl w:val="0"/>
                      <w:numId w:val="0"/>
                    </w:numPr>
                    <w:jc w:val="left"/>
                    <w:rPr>
                      <w:rFonts w:hint="default" w:ascii="宋体" w:hAnsi="宋体" w:eastAsia="宋体" w:cs="宋体"/>
                      <w:vertAlign w:val="baseline"/>
                      <w:lang w:val="en-US" w:eastAsia="zh-CN"/>
                    </w:rPr>
                  </w:pPr>
                  <w:r>
                    <w:rPr>
                      <w:rFonts w:hint="eastAsia" w:ascii="宋体" w:hAnsi="宋体" w:eastAsia="宋体" w:cs="宋体"/>
                      <w:vertAlign w:val="baseline"/>
                      <w:lang w:val="en-US" w:eastAsia="zh-CN"/>
                    </w:rPr>
                    <w:t>胆固醇</w:t>
                  </w:r>
                </w:p>
              </w:tc>
              <w:tc>
                <w:tcPr>
                  <w:tcW w:w="1619" w:type="dxa"/>
                </w:tcPr>
                <w:p>
                  <w:pPr>
                    <w:pStyle w:val="3"/>
                    <w:numPr>
                      <w:ilvl w:val="0"/>
                      <w:numId w:val="0"/>
                    </w:numPr>
                    <w:jc w:val="left"/>
                    <w:rPr>
                      <w:rFonts w:hint="default" w:ascii="宋体" w:hAnsi="宋体" w:eastAsia="宋体" w:cs="宋体"/>
                      <w:vertAlign w:val="baseline"/>
                      <w:lang w:val="en-US" w:eastAsia="zh-CN"/>
                    </w:rPr>
                  </w:pPr>
                  <w:r>
                    <w:rPr>
                      <w:rFonts w:hint="eastAsia" w:ascii="宋体" w:hAnsi="宋体" w:eastAsia="宋体" w:cs="宋体"/>
                      <w:vertAlign w:val="baseline"/>
                      <w:lang w:val="en-US" w:eastAsia="zh-CN"/>
                    </w:rPr>
                    <w:t>0毫克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12" w:type="dxa"/>
                </w:tcPr>
                <w:p>
                  <w:pPr>
                    <w:pStyle w:val="3"/>
                    <w:numPr>
                      <w:ilvl w:val="0"/>
                      <w:numId w:val="0"/>
                    </w:numPr>
                    <w:jc w:val="left"/>
                    <w:rPr>
                      <w:rFonts w:hint="default" w:ascii="宋体" w:hAnsi="宋体" w:eastAsia="宋体" w:cs="宋体"/>
                      <w:vertAlign w:val="baseline"/>
                      <w:lang w:val="en-US" w:eastAsia="zh-CN"/>
                    </w:rPr>
                  </w:pPr>
                  <w:r>
                    <w:rPr>
                      <w:rFonts w:hint="eastAsia" w:ascii="宋体" w:hAnsi="宋体" w:eastAsia="宋体" w:cs="宋体"/>
                      <w:vertAlign w:val="baseline"/>
                      <w:lang w:val="en-US" w:eastAsia="zh-CN"/>
                    </w:rPr>
                    <w:t>碳水化合物</w:t>
                  </w:r>
                </w:p>
              </w:tc>
              <w:tc>
                <w:tcPr>
                  <w:tcW w:w="1619" w:type="dxa"/>
                </w:tcPr>
                <w:p>
                  <w:pPr>
                    <w:pStyle w:val="3"/>
                    <w:numPr>
                      <w:ilvl w:val="0"/>
                      <w:numId w:val="0"/>
                    </w:numPr>
                    <w:jc w:val="left"/>
                    <w:rPr>
                      <w:rFonts w:hint="default" w:ascii="宋体" w:hAnsi="宋体" w:eastAsia="宋体" w:cs="宋体"/>
                      <w:vertAlign w:val="baseline"/>
                      <w:lang w:val="en-US" w:eastAsia="zh-CN"/>
                    </w:rPr>
                  </w:pPr>
                  <w:r>
                    <w:rPr>
                      <w:rFonts w:hint="eastAsia" w:ascii="宋体" w:hAnsi="宋体" w:eastAsia="宋体" w:cs="宋体"/>
                      <w:vertAlign w:val="baseline"/>
                      <w:lang w:val="en-US" w:eastAsia="zh-CN"/>
                    </w:rPr>
                    <w:t>0克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12" w:type="dxa"/>
                </w:tcPr>
                <w:p>
                  <w:pPr>
                    <w:pStyle w:val="3"/>
                    <w:numPr>
                      <w:ilvl w:val="0"/>
                      <w:numId w:val="0"/>
                    </w:numPr>
                    <w:jc w:val="left"/>
                    <w:rPr>
                      <w:rFonts w:hint="default" w:ascii="宋体" w:hAnsi="宋体" w:eastAsia="宋体" w:cs="宋体"/>
                      <w:vertAlign w:val="baseline"/>
                      <w:lang w:val="en-US" w:eastAsia="zh-CN"/>
                    </w:rPr>
                  </w:pPr>
                  <w:r>
                    <w:rPr>
                      <w:rFonts w:hint="eastAsia" w:ascii="宋体" w:hAnsi="宋体" w:eastAsia="宋体" w:cs="宋体"/>
                      <w:vertAlign w:val="baseline"/>
                      <w:lang w:val="en-US" w:eastAsia="zh-CN"/>
                    </w:rPr>
                    <w:t>钠</w:t>
                  </w:r>
                </w:p>
              </w:tc>
              <w:tc>
                <w:tcPr>
                  <w:tcW w:w="1619" w:type="dxa"/>
                </w:tcPr>
                <w:p>
                  <w:pPr>
                    <w:pStyle w:val="3"/>
                    <w:numPr>
                      <w:ilvl w:val="0"/>
                      <w:numId w:val="0"/>
                    </w:numPr>
                    <w:jc w:val="left"/>
                    <w:rPr>
                      <w:rFonts w:hint="default" w:ascii="宋体" w:hAnsi="宋体" w:eastAsia="宋体" w:cs="宋体"/>
                      <w:vertAlign w:val="baseline"/>
                      <w:lang w:val="en-US" w:eastAsia="zh-CN"/>
                    </w:rPr>
                  </w:pPr>
                  <w:r>
                    <w:rPr>
                      <w:rFonts w:hint="eastAsia" w:ascii="宋体" w:hAnsi="宋体" w:eastAsia="宋体" w:cs="宋体"/>
                      <w:vertAlign w:val="baseline"/>
                      <w:lang w:val="en-US" w:eastAsia="zh-CN"/>
                    </w:rPr>
                    <w:t>0毫克</w:t>
                  </w:r>
                </w:p>
              </w:tc>
            </w:tr>
          </w:tbl>
          <w:p>
            <w:pPr>
              <w:pStyle w:val="3"/>
              <w:numPr>
                <w:ilvl w:val="0"/>
                <w:numId w:val="2"/>
              </w:numPr>
              <w:ind w:left="13"/>
              <w:rPr>
                <w:rFonts w:hint="default" w:ascii="宋体" w:hAnsi="宋体" w:eastAsia="宋体" w:cs="宋体"/>
                <w:vertAlign w:val="baseline"/>
                <w:lang w:val="en-US" w:eastAsia="zh-CN"/>
              </w:rPr>
            </w:pPr>
            <w:r>
              <w:rPr>
                <w:rFonts w:hint="eastAsia" w:ascii="宋体" w:hAnsi="宋体" w:eastAsia="宋体" w:cs="宋体"/>
                <w:vertAlign w:val="baseline"/>
                <w:lang w:val="en-US" w:eastAsia="zh-CN"/>
              </w:rPr>
              <w:t>加工工艺：压榨</w:t>
            </w:r>
          </w:p>
          <w:p>
            <w:pPr>
              <w:pStyle w:val="3"/>
              <w:numPr>
                <w:ilvl w:val="0"/>
                <w:numId w:val="2"/>
              </w:numPr>
              <w:ind w:left="13"/>
              <w:rPr>
                <w:rFonts w:hint="default" w:ascii="宋体" w:hAnsi="宋体" w:eastAsia="宋体" w:cs="宋体"/>
                <w:vertAlign w:val="baseline"/>
                <w:lang w:val="en-US" w:eastAsia="zh-CN"/>
              </w:rPr>
            </w:pPr>
            <w:r>
              <w:rPr>
                <w:rFonts w:hint="eastAsia" w:ascii="宋体" w:hAnsi="宋体" w:eastAsia="宋体" w:cs="宋体"/>
                <w:vertAlign w:val="baseline"/>
                <w:lang w:val="en-US" w:eastAsia="zh-CN"/>
              </w:rPr>
              <w:t>质量等级：一级压榨花生油</w:t>
            </w:r>
          </w:p>
          <w:p>
            <w:pPr>
              <w:pStyle w:val="3"/>
              <w:numPr>
                <w:ilvl w:val="0"/>
                <w:numId w:val="0"/>
              </w:numPr>
              <w:rPr>
                <w:rFonts w:hint="default" w:ascii="宋体" w:hAnsi="宋体" w:eastAsia="宋体" w:cs="宋体"/>
                <w:vertAlign w:val="baseline"/>
                <w:lang w:val="en-US" w:eastAsia="zh-CN"/>
              </w:rPr>
            </w:pPr>
            <w:r>
              <w:rPr>
                <w:rFonts w:hint="eastAsia"/>
                <w:color w:val="auto"/>
                <w:kern w:val="0"/>
                <w:szCs w:val="21"/>
                <w:highlight w:val="none"/>
              </w:rPr>
              <w:t>▲</w:t>
            </w:r>
            <w:r>
              <w:rPr>
                <w:rFonts w:hint="eastAsia"/>
                <w:color w:val="auto"/>
                <w:kern w:val="0"/>
                <w:szCs w:val="21"/>
                <w:highlight w:val="none"/>
                <w:lang w:val="en-US" w:eastAsia="zh-CN"/>
              </w:rPr>
              <w:t>6、</w:t>
            </w:r>
            <w:r>
              <w:rPr>
                <w:rFonts w:hint="default" w:ascii="宋体" w:hAnsi="宋体" w:eastAsia="宋体" w:cs="宋体"/>
                <w:vertAlign w:val="baseline"/>
                <w:lang w:val="en-US" w:eastAsia="zh-CN"/>
              </w:rPr>
              <w:t>营养成分及微生物含量等符合国家标准，</w:t>
            </w:r>
            <w:r>
              <w:rPr>
                <w:rFonts w:hint="eastAsia" w:ascii="宋体" w:hAnsi="宋体" w:eastAsia="宋体" w:cs="宋体"/>
                <w:vertAlign w:val="baseline"/>
                <w:lang w:val="en-US" w:eastAsia="zh-CN"/>
              </w:rPr>
              <w:t>响应文件中须</w:t>
            </w:r>
            <w:r>
              <w:rPr>
                <w:rFonts w:hint="default" w:ascii="宋体" w:hAnsi="宋体" w:eastAsia="宋体" w:cs="宋体"/>
                <w:vertAlign w:val="baseline"/>
                <w:lang w:val="en-US" w:eastAsia="zh-CN"/>
              </w:rPr>
              <w:t>提供国家认可的第三方检测机构出具的检测报告复印件</w:t>
            </w:r>
            <w:r>
              <w:rPr>
                <w:rFonts w:hint="eastAsia" w:ascii="宋体" w:hAnsi="宋体" w:eastAsia="宋体" w:cs="宋体"/>
                <w:vertAlign w:val="baseline"/>
                <w:lang w:val="en-US" w:eastAsia="zh-CN"/>
              </w:rPr>
              <w:t>(</w:t>
            </w:r>
            <w:r>
              <w:rPr>
                <w:rFonts w:hint="eastAsia" w:ascii="宋体" w:hAnsi="宋体" w:eastAsia="宋体" w:cs="宋体"/>
                <w:lang w:val="en-US" w:eastAsia="zh-CN"/>
              </w:rPr>
              <w:t>检测依据见第 7点执行标准)</w:t>
            </w:r>
            <w:r>
              <w:rPr>
                <w:rFonts w:hint="default" w:ascii="宋体" w:hAnsi="宋体" w:eastAsia="宋体" w:cs="宋体"/>
                <w:vertAlign w:val="baseline"/>
                <w:lang w:val="en-US" w:eastAsia="zh-CN"/>
              </w:rPr>
              <w:t>，原件备查</w:t>
            </w:r>
            <w:r>
              <w:rPr>
                <w:rFonts w:hint="eastAsia" w:ascii="宋体" w:hAnsi="宋体" w:eastAsia="宋体" w:cs="宋体"/>
                <w:vertAlign w:val="baseline"/>
                <w:lang w:val="en-US" w:eastAsia="zh-CN"/>
              </w:rPr>
              <w:t>。</w:t>
            </w:r>
          </w:p>
          <w:p>
            <w:pPr>
              <w:pStyle w:val="3"/>
              <w:numPr>
                <w:ilvl w:val="0"/>
                <w:numId w:val="0"/>
              </w:numPr>
              <w:rPr>
                <w:rFonts w:hint="default" w:ascii="宋体" w:hAnsi="宋体" w:eastAsia="宋体" w:cs="宋体"/>
                <w:vertAlign w:val="baseline"/>
                <w:lang w:val="en-US" w:eastAsia="zh-CN"/>
              </w:rPr>
            </w:pPr>
            <w:r>
              <w:rPr>
                <w:rFonts w:hint="eastAsia"/>
                <w:color w:val="auto"/>
                <w:kern w:val="0"/>
                <w:szCs w:val="21"/>
                <w:highlight w:val="none"/>
              </w:rPr>
              <w:t>▲</w:t>
            </w:r>
            <w:r>
              <w:rPr>
                <w:rFonts w:hint="eastAsia" w:ascii="宋体" w:hAnsi="宋体" w:eastAsia="宋体" w:cs="宋体"/>
                <w:vertAlign w:val="baseline"/>
                <w:lang w:val="en-US" w:eastAsia="zh-CN"/>
              </w:rPr>
              <w:t>7、执行标准：GB 1534-2017 《花生油》或优于该标准</w:t>
            </w:r>
            <w:bookmarkStart w:id="0" w:name="_GoBack"/>
            <w:bookmarkEnd w:id="0"/>
          </w:p>
          <w:p>
            <w:pPr>
              <w:pStyle w:val="3"/>
              <w:numPr>
                <w:ilvl w:val="0"/>
                <w:numId w:val="0"/>
              </w:numPr>
              <w:rPr>
                <w:rFonts w:hint="eastAsia" w:ascii="宋体" w:hAnsi="宋体" w:eastAsia="宋体" w:cs="宋体"/>
                <w:vertAlign w:val="baseline"/>
                <w:lang w:val="en-US" w:eastAsia="zh-CN"/>
              </w:rPr>
            </w:pPr>
            <w:r>
              <w:rPr>
                <w:rFonts w:hint="eastAsia"/>
                <w:color w:val="auto"/>
                <w:kern w:val="0"/>
                <w:szCs w:val="21"/>
                <w:highlight w:val="none"/>
              </w:rPr>
              <w:t>▲</w:t>
            </w:r>
            <w:r>
              <w:rPr>
                <w:rFonts w:hint="eastAsia" w:ascii="宋体" w:hAnsi="宋体" w:eastAsia="宋体" w:cs="宋体"/>
                <w:vertAlign w:val="baseline"/>
                <w:lang w:val="en-US" w:eastAsia="zh-CN"/>
              </w:rPr>
              <w:t>8、质保期：≥18个月</w:t>
            </w:r>
          </w:p>
          <w:p>
            <w:pPr>
              <w:pStyle w:val="3"/>
              <w:numPr>
                <w:ilvl w:val="0"/>
                <w:numId w:val="0"/>
              </w:numPr>
              <w:rPr>
                <w:rFonts w:hint="default" w:ascii="宋体" w:hAnsi="宋体" w:eastAsia="宋体" w:cs="宋体"/>
                <w:vertAlign w:val="baseline"/>
                <w:lang w:val="en-US" w:eastAsia="zh-CN"/>
              </w:rPr>
            </w:pPr>
            <w:r>
              <w:rPr>
                <w:rFonts w:hint="eastAsia"/>
                <w:color w:val="auto"/>
                <w:kern w:val="0"/>
                <w:szCs w:val="21"/>
                <w:highlight w:val="none"/>
              </w:rPr>
              <w:t>▲</w:t>
            </w:r>
            <w:r>
              <w:rPr>
                <w:rFonts w:hint="eastAsia" w:ascii="宋体" w:hAnsi="宋体" w:eastAsia="宋体" w:cs="宋体"/>
                <w:vertAlign w:val="baseline"/>
                <w:lang w:val="en-US" w:eastAsia="zh-CN"/>
              </w:rPr>
              <w:t>9、交货时，花生油的剩余保质期不少于产品标注保质期的三分之二。</w:t>
            </w:r>
          </w:p>
          <w:p>
            <w:pPr>
              <w:pStyle w:val="3"/>
              <w:numPr>
                <w:ilvl w:val="0"/>
                <w:numId w:val="0"/>
              </w:numPr>
              <w:rPr>
                <w:rFonts w:hint="default" w:ascii="宋体" w:hAnsi="宋体" w:eastAsia="宋体" w:cs="宋体"/>
                <w:lang w:val="en-US" w:eastAsia="zh-CN"/>
              </w:rPr>
            </w:pPr>
            <w:r>
              <w:rPr>
                <w:rFonts w:hint="eastAsia"/>
                <w:color w:val="auto"/>
                <w:kern w:val="0"/>
                <w:szCs w:val="21"/>
                <w:highlight w:val="none"/>
              </w:rPr>
              <w:t>▲</w:t>
            </w:r>
            <w:r>
              <w:rPr>
                <w:rFonts w:hint="eastAsia"/>
                <w:color w:val="auto"/>
                <w:kern w:val="0"/>
                <w:szCs w:val="21"/>
                <w:highlight w:val="none"/>
                <w:lang w:val="en-US" w:eastAsia="zh-CN"/>
              </w:rPr>
              <w:t>10</w:t>
            </w:r>
            <w:r>
              <w:rPr>
                <w:rFonts w:hint="eastAsia" w:ascii="宋体" w:hAnsi="宋体" w:eastAsia="宋体" w:cs="宋体"/>
                <w:lang w:val="en-US" w:eastAsia="zh-CN"/>
              </w:rPr>
              <w:t>、响应供应商须提供1个样品，用于项目评审，也作为最终交货产品。项目评审结束后，样品退还响应供应商。</w:t>
            </w:r>
          </w:p>
        </w:tc>
        <w:tc>
          <w:tcPr>
            <w:tcW w:w="555" w:type="pct"/>
            <w:tcBorders>
              <w:top w:val="single" w:color="auto" w:sz="4" w:space="0"/>
              <w:left w:val="single" w:color="auto" w:sz="4" w:space="0"/>
              <w:bottom w:val="single" w:color="auto" w:sz="4" w:space="0"/>
              <w:right w:val="single" w:color="auto" w:sz="4" w:space="0"/>
            </w:tcBorders>
            <w:vAlign w:val="center"/>
          </w:tcPr>
          <w:p>
            <w:pPr>
              <w:pStyle w:val="3"/>
              <w:jc w:val="center"/>
              <w:rPr>
                <w:rFonts w:asciiTheme="minorEastAsia" w:hAnsiTheme="minorEastAsia" w:cstheme="minorEastAsia"/>
                <w:szCs w:val="21"/>
              </w:rPr>
            </w:pPr>
            <w:r>
              <w:rPr>
                <w:rFonts w:hint="eastAsia" w:asciiTheme="minorEastAsia" w:hAnsiTheme="minorEastAsia" w:cstheme="minorEastAsia"/>
                <w:szCs w:val="21"/>
                <w:lang w:val="en-US" w:eastAsia="zh-CN"/>
              </w:rPr>
              <w:t>45000</w:t>
            </w:r>
            <w:r>
              <w:rPr>
                <w:rFonts w:asciiTheme="minorEastAsia" w:hAnsiTheme="minorEastAsia" w:cstheme="minorEastAsia"/>
                <w:szCs w:val="21"/>
              </w:rPr>
              <w:t>.00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8" w:hRule="atLeast"/>
          <w:jc w:val="center"/>
        </w:trPr>
        <w:tc>
          <w:tcPr>
            <w:tcW w:w="294"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hint="eastAsia"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2</w:t>
            </w:r>
          </w:p>
        </w:tc>
        <w:tc>
          <w:tcPr>
            <w:tcW w:w="577" w:type="pct"/>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textAlignment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保暖冬被</w:t>
            </w:r>
          </w:p>
        </w:tc>
        <w:tc>
          <w:tcPr>
            <w:tcW w:w="584" w:type="pct"/>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780床</w:t>
            </w:r>
          </w:p>
        </w:tc>
        <w:tc>
          <w:tcPr>
            <w:tcW w:w="2987" w:type="pct"/>
            <w:tcBorders>
              <w:top w:val="single" w:color="auto" w:sz="4" w:space="0"/>
              <w:left w:val="single" w:color="auto" w:sz="4" w:space="0"/>
              <w:bottom w:val="single" w:color="auto" w:sz="4" w:space="0"/>
              <w:right w:val="single" w:color="auto" w:sz="4" w:space="0"/>
            </w:tcBorders>
            <w:vAlign w:val="center"/>
          </w:tcPr>
          <w:p>
            <w:pPr>
              <w:pStyle w:val="3"/>
              <w:widowControl w:val="0"/>
              <w:numPr>
                <w:ilvl w:val="0"/>
                <w:numId w:val="0"/>
              </w:numPr>
              <w:spacing w:after="120"/>
              <w:jc w:val="both"/>
              <w:rPr>
                <w:rFonts w:hint="default" w:ascii="宋体" w:hAnsi="宋体" w:eastAsia="宋体" w:cs="宋体"/>
                <w:lang w:val="en-US" w:eastAsia="zh-CN"/>
              </w:rPr>
            </w:pPr>
            <w:r>
              <w:rPr>
                <w:rFonts w:hint="eastAsia" w:ascii="宋体" w:hAnsi="宋体" w:eastAsia="宋体" w:cs="宋体"/>
                <w:lang w:val="en-US" w:eastAsia="zh-CN"/>
              </w:rPr>
              <w:t>1、</w:t>
            </w:r>
            <w:r>
              <w:rPr>
                <w:rFonts w:hint="default" w:ascii="宋体" w:hAnsi="宋体" w:eastAsia="宋体" w:cs="宋体"/>
                <w:lang w:val="en-US" w:eastAsia="zh-CN"/>
              </w:rPr>
              <w:t>规格：</w:t>
            </w:r>
            <w:r>
              <w:rPr>
                <w:rFonts w:hint="eastAsia" w:ascii="宋体" w:hAnsi="宋体" w:eastAsia="宋体" w:cs="宋体"/>
                <w:lang w:val="en-US" w:eastAsia="zh-CN"/>
              </w:rPr>
              <w:t>180</w:t>
            </w:r>
            <w:r>
              <w:rPr>
                <w:rFonts w:hint="default" w:ascii="宋体" w:hAnsi="宋体" w:eastAsia="宋体" w:cs="宋体"/>
                <w:lang w:val="en-US" w:eastAsia="zh-CN"/>
              </w:rPr>
              <w:t>*2</w:t>
            </w:r>
            <w:r>
              <w:rPr>
                <w:rFonts w:hint="eastAsia" w:ascii="宋体" w:hAnsi="宋体" w:eastAsia="宋体" w:cs="宋体"/>
                <w:lang w:val="en-US" w:eastAsia="zh-CN"/>
              </w:rPr>
              <w:t>0</w:t>
            </w:r>
            <w:r>
              <w:rPr>
                <w:rFonts w:hint="default" w:ascii="宋体" w:hAnsi="宋体" w:eastAsia="宋体" w:cs="宋体"/>
                <w:lang w:val="en-US" w:eastAsia="zh-CN"/>
              </w:rPr>
              <w:t>0cm</w:t>
            </w:r>
          </w:p>
          <w:p>
            <w:pPr>
              <w:pStyle w:val="3"/>
              <w:widowControl w:val="0"/>
              <w:numPr>
                <w:ilvl w:val="0"/>
                <w:numId w:val="0"/>
              </w:numPr>
              <w:spacing w:after="120"/>
              <w:jc w:val="both"/>
              <w:rPr>
                <w:rFonts w:hint="default" w:ascii="宋体" w:hAnsi="宋体" w:eastAsia="宋体" w:cs="宋体"/>
                <w:lang w:val="en-US" w:eastAsia="zh-CN"/>
              </w:rPr>
            </w:pPr>
            <w:r>
              <w:rPr>
                <w:rFonts w:hint="eastAsia"/>
                <w:color w:val="auto"/>
                <w:kern w:val="0"/>
                <w:szCs w:val="21"/>
                <w:highlight w:val="none"/>
              </w:rPr>
              <w:t>▲</w:t>
            </w:r>
            <w:r>
              <w:rPr>
                <w:rFonts w:hint="eastAsia" w:ascii="宋体" w:hAnsi="宋体" w:eastAsia="宋体" w:cs="宋体"/>
                <w:lang w:val="en-US" w:eastAsia="zh-CN"/>
              </w:rPr>
              <w:t>2、克重：≥4斤</w:t>
            </w:r>
          </w:p>
          <w:p>
            <w:pPr>
              <w:pStyle w:val="3"/>
              <w:widowControl w:val="0"/>
              <w:numPr>
                <w:ilvl w:val="0"/>
                <w:numId w:val="0"/>
              </w:numPr>
              <w:spacing w:after="120"/>
              <w:ind w:left="13" w:leftChars="0"/>
              <w:jc w:val="both"/>
              <w:rPr>
                <w:rFonts w:hint="default" w:ascii="宋体" w:hAnsi="宋体" w:eastAsia="宋体" w:cs="宋体"/>
                <w:lang w:val="en-US" w:eastAsia="zh-CN"/>
              </w:rPr>
            </w:pPr>
            <w:r>
              <w:rPr>
                <w:rFonts w:hint="eastAsia" w:ascii="宋体" w:hAnsi="宋体" w:eastAsia="宋体" w:cs="宋体"/>
                <w:lang w:val="en-US" w:eastAsia="zh-CN"/>
              </w:rPr>
              <w:t>3、</w:t>
            </w:r>
            <w:r>
              <w:rPr>
                <w:rFonts w:hint="default" w:ascii="宋体" w:hAnsi="宋体" w:eastAsia="宋体" w:cs="宋体"/>
                <w:lang w:val="en-US" w:eastAsia="zh-CN"/>
              </w:rPr>
              <w:t>面料：</w:t>
            </w:r>
            <w:r>
              <w:rPr>
                <w:rFonts w:hint="eastAsia" w:ascii="宋体" w:hAnsi="宋体" w:eastAsia="宋体" w:cs="宋体"/>
                <w:lang w:val="en-US" w:eastAsia="zh-CN"/>
              </w:rPr>
              <w:t>聚酯</w:t>
            </w:r>
            <w:r>
              <w:rPr>
                <w:rFonts w:hint="default" w:ascii="宋体" w:hAnsi="宋体" w:eastAsia="宋体" w:cs="宋体"/>
                <w:lang w:val="en-US" w:eastAsia="zh-CN"/>
              </w:rPr>
              <w:t>纤维</w:t>
            </w:r>
          </w:p>
          <w:p>
            <w:pPr>
              <w:pStyle w:val="3"/>
              <w:widowControl w:val="0"/>
              <w:numPr>
                <w:ilvl w:val="0"/>
                <w:numId w:val="0"/>
              </w:numPr>
              <w:spacing w:after="120"/>
              <w:ind w:left="13" w:leftChars="0"/>
              <w:jc w:val="both"/>
              <w:rPr>
                <w:rFonts w:hint="default" w:ascii="宋体" w:hAnsi="宋体" w:eastAsia="宋体" w:cs="宋体"/>
                <w:lang w:val="en-US" w:eastAsia="zh-CN"/>
              </w:rPr>
            </w:pPr>
            <w:r>
              <w:rPr>
                <w:rFonts w:hint="eastAsia" w:ascii="宋体" w:hAnsi="宋体" w:eastAsia="宋体" w:cs="宋体"/>
                <w:lang w:val="en-US" w:eastAsia="zh-CN"/>
              </w:rPr>
              <w:t>4、</w:t>
            </w:r>
            <w:r>
              <w:rPr>
                <w:rFonts w:hint="default" w:ascii="宋体" w:hAnsi="宋体" w:eastAsia="宋体" w:cs="宋体"/>
                <w:lang w:val="en-US" w:eastAsia="zh-CN"/>
              </w:rPr>
              <w:t>填充：大豆蛋白纤维</w:t>
            </w:r>
          </w:p>
          <w:p>
            <w:pPr>
              <w:pStyle w:val="3"/>
              <w:widowControl w:val="0"/>
              <w:numPr>
                <w:ilvl w:val="0"/>
                <w:numId w:val="0"/>
              </w:numPr>
              <w:spacing w:after="120"/>
              <w:ind w:left="13" w:leftChars="0"/>
              <w:jc w:val="both"/>
              <w:rPr>
                <w:rFonts w:hint="default" w:ascii="宋体" w:hAnsi="宋体" w:eastAsia="宋体" w:cs="宋体"/>
                <w:lang w:val="en-US" w:eastAsia="zh-CN"/>
              </w:rPr>
            </w:pPr>
            <w:r>
              <w:rPr>
                <w:rFonts w:hint="eastAsia" w:ascii="宋体" w:hAnsi="宋体" w:eastAsia="宋体" w:cs="宋体"/>
                <w:lang w:val="en-US" w:eastAsia="zh-CN"/>
              </w:rPr>
              <w:t>5、工艺：采用优质磨毛压花面料，精致的包边工艺，做工细致，精美纺缝，避免跑棉。</w:t>
            </w:r>
          </w:p>
          <w:p>
            <w:pPr>
              <w:pStyle w:val="3"/>
              <w:widowControl w:val="0"/>
              <w:numPr>
                <w:ilvl w:val="0"/>
                <w:numId w:val="0"/>
              </w:numPr>
              <w:spacing w:after="120"/>
              <w:ind w:left="13" w:leftChars="0"/>
              <w:jc w:val="both"/>
              <w:rPr>
                <w:rFonts w:hint="eastAsia" w:ascii="宋体" w:hAnsi="宋体" w:eastAsia="宋体" w:cs="宋体"/>
                <w:lang w:val="en-US" w:eastAsia="zh-CN"/>
              </w:rPr>
            </w:pPr>
            <w:r>
              <w:rPr>
                <w:rFonts w:hint="eastAsia"/>
                <w:color w:val="auto"/>
                <w:kern w:val="0"/>
                <w:szCs w:val="21"/>
                <w:highlight w:val="none"/>
              </w:rPr>
              <w:t>▲</w:t>
            </w:r>
            <w:r>
              <w:rPr>
                <w:rFonts w:hint="eastAsia"/>
                <w:color w:val="auto"/>
                <w:kern w:val="0"/>
                <w:szCs w:val="21"/>
                <w:highlight w:val="none"/>
                <w:lang w:val="en-US" w:eastAsia="zh-CN"/>
              </w:rPr>
              <w:t>6</w:t>
            </w:r>
            <w:r>
              <w:rPr>
                <w:rFonts w:hint="eastAsia" w:ascii="宋体" w:hAnsi="宋体" w:eastAsia="宋体" w:cs="宋体"/>
                <w:lang w:val="en-US" w:eastAsia="zh-CN"/>
              </w:rPr>
              <w:t>、执行标准：GB18401-2010</w:t>
            </w:r>
          </w:p>
          <w:p>
            <w:pPr>
              <w:pStyle w:val="3"/>
              <w:widowControl w:val="0"/>
              <w:numPr>
                <w:ilvl w:val="0"/>
                <w:numId w:val="0"/>
              </w:numPr>
              <w:spacing w:after="120"/>
              <w:ind w:left="13" w:leftChars="0"/>
              <w:jc w:val="both"/>
              <w:rPr>
                <w:rFonts w:hint="eastAsia" w:ascii="宋体" w:hAnsi="宋体" w:eastAsia="宋体" w:cs="宋体"/>
                <w:lang w:val="en-US" w:eastAsia="zh-CN"/>
              </w:rPr>
            </w:pPr>
            <w:r>
              <w:rPr>
                <w:rFonts w:hint="eastAsia"/>
                <w:color w:val="auto"/>
                <w:kern w:val="0"/>
                <w:szCs w:val="21"/>
                <w:highlight w:val="none"/>
              </w:rPr>
              <w:t>▲</w:t>
            </w:r>
            <w:r>
              <w:rPr>
                <w:rFonts w:hint="eastAsia"/>
                <w:color w:val="auto"/>
                <w:kern w:val="0"/>
                <w:szCs w:val="21"/>
                <w:highlight w:val="none"/>
                <w:lang w:val="en-US" w:eastAsia="zh-CN"/>
              </w:rPr>
              <w:t>7</w:t>
            </w:r>
            <w:r>
              <w:rPr>
                <w:rFonts w:hint="eastAsia" w:ascii="宋体" w:hAnsi="宋体" w:eastAsia="宋体" w:cs="宋体"/>
                <w:lang w:val="en-US" w:eastAsia="zh-CN"/>
              </w:rPr>
              <w:t>、供货时提供国家认可的具有资质的第三方检测机构出具的检测报告(检测依据见第 6 点执行标准）。</w:t>
            </w:r>
          </w:p>
          <w:p>
            <w:pPr>
              <w:pStyle w:val="3"/>
              <w:widowControl w:val="0"/>
              <w:numPr>
                <w:ilvl w:val="0"/>
                <w:numId w:val="0"/>
              </w:numPr>
              <w:spacing w:after="120"/>
              <w:ind w:left="13" w:leftChars="0"/>
              <w:jc w:val="both"/>
              <w:rPr>
                <w:rFonts w:hint="eastAsia" w:ascii="宋体" w:hAnsi="宋体" w:eastAsia="宋体" w:cs="宋体"/>
                <w:lang w:val="en-US" w:eastAsia="zh-CN"/>
              </w:rPr>
            </w:pPr>
            <w:r>
              <w:rPr>
                <w:rFonts w:hint="eastAsia" w:ascii="宋体" w:hAnsi="宋体" w:eastAsia="宋体" w:cs="宋体"/>
                <w:lang w:val="en-US" w:eastAsia="zh-CN"/>
              </w:rPr>
              <w:t>8、含合格证，注明产品名称、材质、规格、执行标准等必要信息。</w:t>
            </w:r>
          </w:p>
          <w:p>
            <w:pPr>
              <w:pStyle w:val="3"/>
              <w:widowControl w:val="0"/>
              <w:numPr>
                <w:ilvl w:val="0"/>
                <w:numId w:val="0"/>
              </w:numPr>
              <w:spacing w:after="120"/>
              <w:ind w:left="13" w:leftChars="0"/>
              <w:jc w:val="both"/>
              <w:rPr>
                <w:rFonts w:hint="eastAsia" w:ascii="宋体" w:hAnsi="宋体" w:eastAsia="宋体" w:cs="宋体"/>
                <w:lang w:val="en-US" w:eastAsia="zh-CN"/>
              </w:rPr>
            </w:pPr>
            <w:r>
              <w:rPr>
                <w:rFonts w:hint="eastAsia" w:ascii="宋体" w:hAnsi="宋体" w:eastAsia="宋体" w:cs="宋体"/>
                <w:lang w:val="en-US" w:eastAsia="zh-CN"/>
              </w:rPr>
              <w:t>9、独立包装盒或手提袋子。</w:t>
            </w:r>
          </w:p>
          <w:p>
            <w:pPr>
              <w:pStyle w:val="3"/>
              <w:widowControl w:val="0"/>
              <w:numPr>
                <w:ilvl w:val="0"/>
                <w:numId w:val="0"/>
              </w:numPr>
              <w:spacing w:after="120"/>
              <w:ind w:left="13" w:leftChars="0"/>
              <w:jc w:val="both"/>
              <w:rPr>
                <w:rFonts w:hint="eastAsia" w:ascii="宋体" w:hAnsi="宋体" w:eastAsia="宋体" w:cs="宋体"/>
                <w:lang w:val="en-US" w:eastAsia="zh-CN"/>
              </w:rPr>
            </w:pPr>
            <w:r>
              <w:rPr>
                <w:rFonts w:hint="eastAsia"/>
                <w:color w:val="auto"/>
                <w:kern w:val="0"/>
                <w:szCs w:val="21"/>
                <w:highlight w:val="none"/>
              </w:rPr>
              <w:t>▲</w:t>
            </w:r>
            <w:r>
              <w:rPr>
                <w:rFonts w:hint="eastAsia"/>
                <w:color w:val="auto"/>
                <w:kern w:val="0"/>
                <w:szCs w:val="21"/>
                <w:highlight w:val="none"/>
                <w:lang w:val="en-US" w:eastAsia="zh-CN"/>
              </w:rPr>
              <w:t>10</w:t>
            </w:r>
            <w:r>
              <w:rPr>
                <w:rFonts w:hint="eastAsia" w:ascii="宋体" w:hAnsi="宋体" w:eastAsia="宋体" w:cs="宋体"/>
                <w:lang w:val="en-US" w:eastAsia="zh-CN"/>
              </w:rPr>
              <w:t>、响应供应商须提供1个样品，用于项目评审，也作为最终交货产品。项目评审结束后，样品退还响应供应商。</w:t>
            </w:r>
          </w:p>
          <w:p>
            <w:pPr>
              <w:pStyle w:val="3"/>
              <w:widowControl w:val="0"/>
              <w:numPr>
                <w:ilvl w:val="0"/>
                <w:numId w:val="3"/>
              </w:numPr>
              <w:spacing w:after="120"/>
              <w:ind w:left="13" w:leftChars="0"/>
              <w:jc w:val="both"/>
              <w:rPr>
                <w:rFonts w:hint="eastAsia" w:ascii="宋体" w:hAnsi="宋体" w:eastAsia="宋体" w:cs="宋体"/>
                <w:lang w:val="en-US" w:eastAsia="zh-CN"/>
              </w:rPr>
            </w:pPr>
            <w:r>
              <w:rPr>
                <w:rFonts w:hint="eastAsia" w:ascii="宋体" w:hAnsi="宋体" w:eastAsia="宋体" w:cs="宋体"/>
                <w:lang w:val="en-US" w:eastAsia="zh-CN"/>
              </w:rPr>
              <w:t>产品参考图：</w:t>
            </w:r>
          </w:p>
          <w:p>
            <w:pPr>
              <w:pStyle w:val="3"/>
              <w:widowControl w:val="0"/>
              <w:numPr>
                <w:ilvl w:val="0"/>
                <w:numId w:val="0"/>
              </w:numPr>
              <w:spacing w:after="120"/>
              <w:jc w:val="both"/>
              <w:rPr>
                <w:rFonts w:hint="default" w:ascii="宋体" w:hAnsi="宋体" w:eastAsia="宋体" w:cs="宋体"/>
                <w:lang w:val="en-US" w:eastAsia="zh-CN"/>
              </w:rPr>
            </w:pPr>
            <w:r>
              <w:drawing>
                <wp:inline distT="0" distB="0" distL="114300" distR="114300">
                  <wp:extent cx="2618740" cy="1621790"/>
                  <wp:effectExtent l="0" t="0" r="10160" b="1651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4"/>
                          <a:stretch>
                            <a:fillRect/>
                          </a:stretch>
                        </pic:blipFill>
                        <pic:spPr>
                          <a:xfrm>
                            <a:off x="0" y="0"/>
                            <a:ext cx="2618740" cy="1621790"/>
                          </a:xfrm>
                          <a:prstGeom prst="rect">
                            <a:avLst/>
                          </a:prstGeom>
                          <a:noFill/>
                          <a:ln>
                            <a:noFill/>
                          </a:ln>
                        </pic:spPr>
                      </pic:pic>
                    </a:graphicData>
                  </a:graphic>
                </wp:inline>
              </w:drawing>
            </w:r>
          </w:p>
        </w:tc>
        <w:tc>
          <w:tcPr>
            <w:tcW w:w="555" w:type="pct"/>
            <w:tcBorders>
              <w:top w:val="single" w:color="auto" w:sz="4" w:space="0"/>
              <w:left w:val="single" w:color="auto" w:sz="4" w:space="0"/>
              <w:bottom w:val="single" w:color="auto" w:sz="4" w:space="0"/>
              <w:right w:val="single" w:color="auto" w:sz="4" w:space="0"/>
            </w:tcBorders>
            <w:vAlign w:val="center"/>
          </w:tcPr>
          <w:p>
            <w:pPr>
              <w:pStyle w:val="3"/>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54600.00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8" w:hRule="atLeast"/>
          <w:jc w:val="center"/>
        </w:trPr>
        <w:tc>
          <w:tcPr>
            <w:tcW w:w="4444" w:type="pct"/>
            <w:gridSpan w:val="4"/>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pStyle w:val="3"/>
              <w:jc w:val="center"/>
              <w:rPr>
                <w:rFonts w:ascii="宋体" w:hAnsi="宋体" w:eastAsia="宋体" w:cs="宋体"/>
              </w:rPr>
            </w:pPr>
            <w:r>
              <w:rPr>
                <w:rFonts w:hint="eastAsia" w:ascii="宋体" w:hAnsi="宋体" w:eastAsia="宋体" w:cs="宋体"/>
              </w:rPr>
              <w:t>合计</w:t>
            </w:r>
          </w:p>
        </w:tc>
        <w:tc>
          <w:tcPr>
            <w:tcW w:w="555" w:type="pct"/>
            <w:tcBorders>
              <w:top w:val="single" w:color="auto" w:sz="4" w:space="0"/>
              <w:left w:val="single" w:color="auto" w:sz="4" w:space="0"/>
              <w:bottom w:val="single" w:color="auto" w:sz="4" w:space="0"/>
              <w:right w:val="single" w:color="auto" w:sz="4" w:space="0"/>
            </w:tcBorders>
            <w:vAlign w:val="center"/>
          </w:tcPr>
          <w:p>
            <w:pPr>
              <w:pStyle w:val="3"/>
              <w:jc w:val="center"/>
              <w:rPr>
                <w:rFonts w:asciiTheme="minorEastAsia" w:hAnsiTheme="minorEastAsia" w:cstheme="minorEastAsia"/>
                <w:szCs w:val="21"/>
              </w:rPr>
            </w:pPr>
            <w:r>
              <w:rPr>
                <w:rFonts w:hint="eastAsia" w:asciiTheme="minorEastAsia" w:hAnsiTheme="minorEastAsia" w:cstheme="minorEastAsia"/>
                <w:szCs w:val="21"/>
                <w:lang w:val="en-US" w:eastAsia="zh-CN"/>
              </w:rPr>
              <w:t>99600</w:t>
            </w:r>
            <w:r>
              <w:rPr>
                <w:rFonts w:hint="eastAsia" w:asciiTheme="minorEastAsia" w:hAnsiTheme="minorEastAsia" w:cstheme="minorEastAsia"/>
                <w:szCs w:val="21"/>
              </w:rPr>
              <w:t>.00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1" w:hRule="atLeast"/>
          <w:jc w:val="center"/>
        </w:trPr>
        <w:tc>
          <w:tcPr>
            <w:tcW w:w="294"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Theme="minorEastAsia" w:hAnsiTheme="minorEastAsia" w:cstheme="minorEastAsia"/>
                <w:szCs w:val="21"/>
              </w:rPr>
            </w:pPr>
            <w:r>
              <w:rPr>
                <w:rFonts w:hint="eastAsia" w:asciiTheme="minorEastAsia" w:hAnsiTheme="minorEastAsia" w:cstheme="minorEastAsia"/>
                <w:szCs w:val="21"/>
              </w:rPr>
              <w:t>商务条款</w:t>
            </w:r>
          </w:p>
        </w:tc>
        <w:tc>
          <w:tcPr>
            <w:tcW w:w="4705" w:type="pct"/>
            <w:gridSpan w:val="4"/>
            <w:tcBorders>
              <w:top w:val="single" w:color="auto" w:sz="4" w:space="0"/>
              <w:left w:val="single" w:color="auto" w:sz="4" w:space="0"/>
              <w:bottom w:val="single" w:color="auto" w:sz="4" w:space="0"/>
              <w:right w:val="single" w:color="auto" w:sz="4" w:space="0"/>
            </w:tcBorders>
          </w:tcPr>
          <w:p>
            <w:pPr>
              <w:widowControl/>
              <w:shd w:val="clear" w:color="auto" w:fill="FFFFFF"/>
              <w:spacing w:line="360" w:lineRule="auto"/>
              <w:rPr>
                <w:rFonts w:ascii="宋体" w:hAnsi="宋体"/>
                <w:szCs w:val="21"/>
              </w:rPr>
            </w:pPr>
            <w:r>
              <w:rPr>
                <w:rFonts w:hint="eastAsia" w:ascii="宋体" w:hAnsi="宋体"/>
                <w:szCs w:val="21"/>
              </w:rPr>
              <w:t>一、合同签订期：自采购结果公告结束之日起 5 个工作日内。</w:t>
            </w:r>
          </w:p>
          <w:p>
            <w:pPr>
              <w:widowControl/>
              <w:shd w:val="clear" w:color="auto" w:fill="FFFFFF"/>
              <w:spacing w:line="360" w:lineRule="auto"/>
              <w:rPr>
                <w:rFonts w:ascii="宋体" w:hAnsi="宋体"/>
                <w:szCs w:val="21"/>
              </w:rPr>
            </w:pPr>
            <w:r>
              <w:rPr>
                <w:rFonts w:hint="eastAsia"/>
                <w:color w:val="auto"/>
                <w:kern w:val="0"/>
                <w:szCs w:val="21"/>
                <w:highlight w:val="none"/>
              </w:rPr>
              <w:t>▲</w:t>
            </w:r>
            <w:r>
              <w:rPr>
                <w:rFonts w:hint="eastAsia" w:ascii="宋体" w:hAnsi="宋体"/>
                <w:szCs w:val="21"/>
              </w:rPr>
              <w:t>二、交货期：自合同签订之日起</w:t>
            </w:r>
            <w:r>
              <w:rPr>
                <w:rFonts w:hint="eastAsia" w:ascii="宋体" w:hAnsi="宋体"/>
                <w:szCs w:val="21"/>
                <w:highlight w:val="yellow"/>
                <w:lang w:val="en-US" w:eastAsia="zh-CN"/>
              </w:rPr>
              <w:t>5日内</w:t>
            </w:r>
            <w:r>
              <w:rPr>
                <w:rFonts w:hint="eastAsia" w:ascii="宋体" w:hAnsi="宋体"/>
                <w:szCs w:val="21"/>
                <w:lang w:val="en-US" w:eastAsia="zh-CN"/>
              </w:rPr>
              <w:t>一次性交付900瓶花生油，合同签订之日起</w:t>
            </w:r>
            <w:r>
              <w:rPr>
                <w:rFonts w:hint="eastAsia" w:ascii="宋体" w:hAnsi="宋体"/>
                <w:szCs w:val="21"/>
                <w:highlight w:val="yellow"/>
                <w:lang w:val="en-US" w:eastAsia="zh-CN"/>
              </w:rPr>
              <w:t>15日内</w:t>
            </w:r>
            <w:r>
              <w:rPr>
                <w:rFonts w:hint="eastAsia" w:ascii="宋体" w:hAnsi="宋体"/>
                <w:szCs w:val="21"/>
                <w:lang w:val="en-US" w:eastAsia="zh-CN"/>
              </w:rPr>
              <w:t>一次性交付780床保暖冬被</w:t>
            </w:r>
            <w:r>
              <w:rPr>
                <w:rFonts w:hint="eastAsia" w:ascii="宋体" w:hAnsi="宋体"/>
                <w:szCs w:val="21"/>
              </w:rPr>
              <w:t>。</w:t>
            </w:r>
          </w:p>
          <w:p>
            <w:pPr>
              <w:widowControl/>
              <w:shd w:val="clear" w:color="auto" w:fill="FFFFFF"/>
              <w:spacing w:line="360" w:lineRule="auto"/>
              <w:rPr>
                <w:rFonts w:ascii="宋体" w:hAnsi="宋体"/>
                <w:szCs w:val="21"/>
              </w:rPr>
            </w:pPr>
            <w:r>
              <w:rPr>
                <w:rFonts w:hint="eastAsia" w:ascii="宋体" w:hAnsi="宋体"/>
                <w:szCs w:val="21"/>
              </w:rPr>
              <w:t xml:space="preserve">三、交货地点：南宁中心血站指定地点。 </w:t>
            </w:r>
          </w:p>
          <w:p>
            <w:pPr>
              <w:widowControl/>
              <w:shd w:val="clear" w:color="auto" w:fill="FFFFFF"/>
              <w:spacing w:line="360" w:lineRule="auto"/>
              <w:rPr>
                <w:rFonts w:ascii="宋体" w:hAnsi="宋体"/>
                <w:szCs w:val="21"/>
              </w:rPr>
            </w:pPr>
            <w:r>
              <w:rPr>
                <w:rFonts w:hint="eastAsia" w:ascii="宋体" w:hAnsi="宋体"/>
                <w:szCs w:val="21"/>
              </w:rPr>
              <w:t>四、交货方式及要求：</w:t>
            </w:r>
          </w:p>
          <w:p>
            <w:pPr>
              <w:widowControl/>
              <w:shd w:val="clear" w:color="auto" w:fill="FFFFFF"/>
              <w:spacing w:line="360" w:lineRule="auto"/>
              <w:rPr>
                <w:rFonts w:ascii="宋体" w:hAnsi="宋体"/>
                <w:szCs w:val="21"/>
              </w:rPr>
            </w:pPr>
            <w:r>
              <w:rPr>
                <w:rFonts w:hint="eastAsia" w:ascii="宋体" w:hAnsi="宋体"/>
                <w:szCs w:val="21"/>
              </w:rPr>
              <w:t>1、交货方式：现场交货</w:t>
            </w:r>
          </w:p>
          <w:p>
            <w:pPr>
              <w:widowControl/>
              <w:shd w:val="clear" w:color="auto" w:fill="FFFFFF"/>
              <w:spacing w:line="360" w:lineRule="auto"/>
              <w:rPr>
                <w:rFonts w:ascii="宋体" w:hAnsi="宋体"/>
                <w:szCs w:val="21"/>
              </w:rPr>
            </w:pPr>
            <w:r>
              <w:rPr>
                <w:rFonts w:hint="eastAsia" w:ascii="宋体" w:hAnsi="宋体"/>
                <w:szCs w:val="21"/>
              </w:rPr>
              <w:t>2、交货要求：中标人向采购人提供的货物必须是全新、完整、未使用过的，货物到达后，中标人和采购人应在现场进行清点，清点过程中如果发现因包装或运输不当引起的产品外观或内部的损坏，中标人应负责更换，若发现错发/漏发情况，中标人应负责更换和补发。</w:t>
            </w:r>
          </w:p>
          <w:p>
            <w:pPr>
              <w:widowControl/>
              <w:shd w:val="clear" w:color="auto" w:fill="FFFFFF"/>
              <w:spacing w:line="360" w:lineRule="auto"/>
              <w:rPr>
                <w:rFonts w:ascii="宋体" w:hAnsi="宋体"/>
                <w:szCs w:val="21"/>
              </w:rPr>
            </w:pPr>
            <w:r>
              <w:rPr>
                <w:rFonts w:hint="eastAsia" w:ascii="宋体" w:hAnsi="宋体"/>
                <w:szCs w:val="21"/>
              </w:rPr>
              <w:t>五、验收方式及要求：</w:t>
            </w:r>
          </w:p>
          <w:p>
            <w:pPr>
              <w:widowControl/>
              <w:shd w:val="clear" w:color="auto" w:fill="FFFFFF"/>
              <w:spacing w:line="360" w:lineRule="auto"/>
              <w:rPr>
                <w:rFonts w:ascii="宋体" w:hAnsi="宋体"/>
                <w:szCs w:val="21"/>
              </w:rPr>
            </w:pPr>
            <w:r>
              <w:rPr>
                <w:rFonts w:hint="eastAsia" w:ascii="宋体" w:hAnsi="宋体"/>
                <w:szCs w:val="21"/>
              </w:rPr>
              <w:t>1、交货时，所有产品均严格按采购文件上的技术参数要求，采购人按中标人响应和承诺的技术参数及性能和国家有关标准进行验收，达不到要求的不予验收，视为产品验收不合格，并且保留追究成交供应商虚假响应的法律责任。</w:t>
            </w:r>
          </w:p>
          <w:p>
            <w:pPr>
              <w:widowControl/>
              <w:shd w:val="clear" w:color="auto" w:fill="FFFFFF"/>
              <w:spacing w:line="360" w:lineRule="auto"/>
              <w:rPr>
                <w:rFonts w:ascii="宋体" w:hAnsi="宋体"/>
                <w:szCs w:val="21"/>
              </w:rPr>
            </w:pPr>
            <w:r>
              <w:rPr>
                <w:rFonts w:hint="eastAsia" w:ascii="宋体" w:hAnsi="宋体"/>
                <w:szCs w:val="21"/>
              </w:rPr>
              <w:t>2、按要求供货到现场(包括包装、卸货及搬运)。</w:t>
            </w:r>
          </w:p>
          <w:p>
            <w:pPr>
              <w:widowControl/>
              <w:shd w:val="clear" w:color="auto" w:fill="FFFFFF"/>
              <w:spacing w:line="360" w:lineRule="auto"/>
              <w:rPr>
                <w:rFonts w:ascii="宋体" w:hAnsi="宋体"/>
                <w:szCs w:val="21"/>
              </w:rPr>
            </w:pPr>
            <w:r>
              <w:rPr>
                <w:rFonts w:hint="eastAsia" w:ascii="宋体" w:hAnsi="宋体"/>
                <w:szCs w:val="21"/>
              </w:rPr>
              <w:t>六、售后服务要求：</w:t>
            </w:r>
          </w:p>
          <w:p>
            <w:pPr>
              <w:widowControl/>
              <w:shd w:val="clear" w:color="auto" w:fill="FFFFFF"/>
              <w:spacing w:line="360" w:lineRule="auto"/>
              <w:rPr>
                <w:rFonts w:ascii="宋体" w:hAnsi="宋体"/>
                <w:szCs w:val="21"/>
              </w:rPr>
            </w:pPr>
            <w:r>
              <w:rPr>
                <w:rFonts w:hint="eastAsia" w:ascii="宋体" w:hAnsi="宋体"/>
                <w:szCs w:val="21"/>
              </w:rPr>
              <w:t>1、质量保证期  1  年（自交货并验收合格之日起计），质量保证期内按国家有关产品“三包”规定执行“三包”，质量保证期内因产品质量问题发生的相关费用由成交供应商承担。</w:t>
            </w:r>
          </w:p>
          <w:p>
            <w:pPr>
              <w:widowControl/>
              <w:shd w:val="clear" w:color="auto" w:fill="FFFFFF"/>
              <w:spacing w:line="360" w:lineRule="auto"/>
              <w:rPr>
                <w:rFonts w:ascii="宋体" w:hAnsi="宋体"/>
                <w:szCs w:val="21"/>
              </w:rPr>
            </w:pPr>
            <w:r>
              <w:rPr>
                <w:rFonts w:hint="eastAsia" w:ascii="宋体" w:hAnsi="宋体"/>
                <w:szCs w:val="21"/>
              </w:rPr>
              <w:t>2、服务响应时间：对于服务请求，须在 20 分钟内响应；一般问题 8小时内解决；对于重大问题不能超过 48 小时解决且要求 4 小时内到现场服务。</w:t>
            </w:r>
          </w:p>
          <w:p>
            <w:pPr>
              <w:widowControl/>
              <w:shd w:val="clear" w:color="auto" w:fill="FFFFFF"/>
              <w:spacing w:line="360" w:lineRule="auto"/>
              <w:rPr>
                <w:rFonts w:ascii="宋体" w:hAnsi="宋体"/>
                <w:szCs w:val="21"/>
              </w:rPr>
            </w:pPr>
            <w:r>
              <w:rPr>
                <w:rFonts w:hint="eastAsia" w:ascii="宋体" w:hAnsi="宋体"/>
                <w:szCs w:val="21"/>
              </w:rPr>
              <w:t>七、其他要求：</w:t>
            </w:r>
          </w:p>
          <w:p>
            <w:pPr>
              <w:widowControl/>
              <w:shd w:val="clear" w:color="auto" w:fill="FFFFFF"/>
              <w:spacing w:line="360" w:lineRule="auto"/>
              <w:rPr>
                <w:rFonts w:ascii="宋体" w:hAnsi="宋体"/>
                <w:szCs w:val="21"/>
              </w:rPr>
            </w:pPr>
            <w:r>
              <w:rPr>
                <w:rFonts w:hint="eastAsia" w:ascii="宋体" w:hAnsi="宋体"/>
                <w:szCs w:val="21"/>
              </w:rPr>
              <w:t>1、投标报价为采购人指定地点的现场交货价，包括：</w:t>
            </w:r>
          </w:p>
          <w:p>
            <w:pPr>
              <w:widowControl/>
              <w:shd w:val="clear" w:color="auto" w:fill="FFFFFF"/>
              <w:spacing w:line="360" w:lineRule="auto"/>
              <w:rPr>
                <w:rFonts w:ascii="宋体" w:hAnsi="宋体"/>
                <w:szCs w:val="21"/>
              </w:rPr>
            </w:pPr>
            <w:r>
              <w:rPr>
                <w:rFonts w:hint="eastAsia" w:ascii="宋体" w:hAnsi="宋体"/>
                <w:szCs w:val="21"/>
              </w:rPr>
              <w:t>（1）货物的价格；</w:t>
            </w:r>
          </w:p>
          <w:p>
            <w:pPr>
              <w:widowControl/>
              <w:shd w:val="clear" w:color="auto" w:fill="FFFFFF"/>
              <w:spacing w:line="360" w:lineRule="auto"/>
              <w:rPr>
                <w:rFonts w:ascii="宋体" w:hAnsi="宋体"/>
                <w:szCs w:val="21"/>
              </w:rPr>
            </w:pPr>
            <w:r>
              <w:rPr>
                <w:rFonts w:hint="eastAsia" w:ascii="宋体" w:hAnsi="宋体"/>
                <w:szCs w:val="21"/>
              </w:rPr>
              <w:t>（2）货物的标准附件配件、备品备件、专用工具的价格；</w:t>
            </w:r>
          </w:p>
          <w:p>
            <w:pPr>
              <w:widowControl/>
              <w:shd w:val="clear" w:color="auto" w:fill="FFFFFF"/>
              <w:spacing w:line="360" w:lineRule="auto"/>
              <w:rPr>
                <w:rFonts w:ascii="宋体" w:hAnsi="宋体"/>
                <w:szCs w:val="21"/>
              </w:rPr>
            </w:pPr>
            <w:r>
              <w:rPr>
                <w:rFonts w:hint="eastAsia" w:ascii="宋体" w:hAnsi="宋体"/>
                <w:szCs w:val="21"/>
              </w:rPr>
              <w:t>（3）运输、装卸、搬运、技术支持、售后服务等费用；</w:t>
            </w:r>
          </w:p>
          <w:p>
            <w:pPr>
              <w:widowControl/>
              <w:shd w:val="clear" w:color="auto" w:fill="FFFFFF"/>
              <w:spacing w:line="360" w:lineRule="auto"/>
              <w:rPr>
                <w:rFonts w:ascii="宋体" w:hAnsi="宋体"/>
                <w:szCs w:val="21"/>
              </w:rPr>
            </w:pPr>
            <w:r>
              <w:rPr>
                <w:rFonts w:hint="eastAsia" w:ascii="宋体" w:hAnsi="宋体"/>
                <w:szCs w:val="21"/>
              </w:rPr>
              <w:t>（4）必要的保险费用和各项税费。</w:t>
            </w:r>
          </w:p>
          <w:p>
            <w:pPr>
              <w:pStyle w:val="4"/>
              <w:rPr>
                <w:rFonts w:ascii="宋体" w:hAnsi="宋体"/>
                <w:b/>
                <w:sz w:val="21"/>
                <w:szCs w:val="21"/>
              </w:rPr>
            </w:pPr>
            <w:r>
              <w:rPr>
                <w:rFonts w:hint="eastAsia" w:ascii="宋体" w:hAnsi="宋体"/>
                <w:sz w:val="21"/>
                <w:szCs w:val="21"/>
              </w:rPr>
              <w:t>2、付款方式：货物验收合格后，采购人</w:t>
            </w:r>
            <w:r>
              <w:rPr>
                <w:rFonts w:hint="eastAsia" w:ascii="宋体" w:hAnsi="宋体"/>
                <w:sz w:val="21"/>
                <w:szCs w:val="21"/>
                <w:lang w:val="en-US" w:eastAsia="zh-CN"/>
              </w:rPr>
              <w:t>一次性支付合同款</w:t>
            </w:r>
            <w:r>
              <w:rPr>
                <w:rFonts w:hint="eastAsia" w:ascii="宋体" w:hAnsi="宋体"/>
                <w:sz w:val="21"/>
                <w:szCs w:val="21"/>
              </w:rPr>
              <w:t>（付款前中标人需开具等额合规的增值税发票）。</w:t>
            </w:r>
          </w:p>
          <w:p>
            <w:pPr>
              <w:pStyle w:val="4"/>
              <w:rPr>
                <w:rFonts w:ascii="宋体" w:hAnsi="宋体"/>
                <w:b/>
                <w:sz w:val="21"/>
                <w:szCs w:val="21"/>
              </w:rPr>
            </w:pP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475511"/>
    <w:multiLevelType w:val="singleLevel"/>
    <w:tmpl w:val="91475511"/>
    <w:lvl w:ilvl="0" w:tentative="0">
      <w:start w:val="11"/>
      <w:numFmt w:val="decimal"/>
      <w:suff w:val="nothing"/>
      <w:lvlText w:val="%1、"/>
      <w:lvlJc w:val="left"/>
    </w:lvl>
  </w:abstractNum>
  <w:abstractNum w:abstractNumId="1">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2">
    <w:nsid w:val="0CEB0E01"/>
    <w:multiLevelType w:val="singleLevel"/>
    <w:tmpl w:val="0CEB0E01"/>
    <w:lvl w:ilvl="0" w:tentative="0">
      <w:start w:val="1"/>
      <w:numFmt w:val="decimal"/>
      <w:suff w:val="nothing"/>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613547F7"/>
    <w:rsid w:val="613547F7"/>
    <w:rsid w:val="797F02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7">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styleId="3">
    <w:name w:val="Body Text"/>
    <w:basedOn w:val="1"/>
    <w:unhideWhenUsed/>
    <w:qFormat/>
    <w:uiPriority w:val="0"/>
    <w:pPr>
      <w:spacing w:after="120"/>
    </w:pPr>
    <w:rPr>
      <w:rFonts w:ascii="Times New Roman" w:hAnsi="Times New Roman"/>
    </w:rPr>
  </w:style>
  <w:style w:type="paragraph" w:styleId="4">
    <w:name w:val="footer"/>
    <w:basedOn w:val="1"/>
    <w:unhideWhenUsed/>
    <w:qFormat/>
    <w:uiPriority w:val="0"/>
    <w:pPr>
      <w:tabs>
        <w:tab w:val="center" w:pos="4153"/>
        <w:tab w:val="right" w:pos="8306"/>
      </w:tabs>
      <w:snapToGrid w:val="0"/>
      <w:jc w:val="left"/>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Office_12.1.0.15933_F1E327BC-269C-435d-A152-05C5408002CA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2023-11-13T08:36:00Z</dcterms:created>
  <dc:creator>WPS</dc:creator>
  <cp:lastModifiedBy>WPS</cp:lastModifiedBy>
  <dcterms:modified xsi:type="dcterms:W3CDTF">2023-11-13T08:41:45Z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2052-12.1.0.15933</vt:lpwstr>
  </property>
  <property fmtid="{D5CDD505-2E9C-101B-9397-08002B2CF9AE}" pid="3" name="ICV">
    <vt:lpwstr>794C8F9010AE429783130EA419EC1370_11</vt:lpwstr>
  </property>
</Properties>
</file>