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"/>
        <w:gridCol w:w="660"/>
        <w:gridCol w:w="3822"/>
        <w:gridCol w:w="706"/>
        <w:gridCol w:w="242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7" w:hRule="atLeast"/>
          <w:jc w:val="center"/>
        </w:trPr>
        <w:tc>
          <w:tcPr>
            <w:tcW w:w="200" w:type="pct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2629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837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332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200" w:type="pct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387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2242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技术参数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423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响应技术参数</w:t>
            </w:r>
          </w:p>
        </w:tc>
        <w:tc>
          <w:tcPr>
            <w:tcW w:w="332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" w:type="pc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387" w:type="pct"/>
            <w:vAlign w:val="center"/>
          </w:tcPr>
          <w:p>
            <w:pPr>
              <w:rPr>
                <w:rFonts w:hint="eastAsia" w:hAnsi="宋体" w:eastAsiaTheme="minorEastAsia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花生油</w:t>
            </w:r>
          </w:p>
        </w:tc>
        <w:tc>
          <w:tcPr>
            <w:tcW w:w="2242" w:type="pct"/>
            <w:vAlign w:val="center"/>
          </w:tcPr>
          <w:p>
            <w:pPr>
              <w:pStyle w:val="3"/>
              <w:numPr>
                <w:ilvl w:val="0"/>
                <w:numId w:val="2"/>
              </w:numPr>
              <w:ind w:left="13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产品规格：≥1.8升</w:t>
            </w:r>
          </w:p>
          <w:p>
            <w:pPr>
              <w:pStyle w:val="3"/>
              <w:numPr>
                <w:ilvl w:val="0"/>
                <w:numId w:val="2"/>
              </w:numPr>
              <w:ind w:left="13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主要原料：花生油</w:t>
            </w:r>
          </w:p>
          <w:p>
            <w:pPr>
              <w:pStyle w:val="3"/>
              <w:numPr>
                <w:ilvl w:val="0"/>
                <w:numId w:val="2"/>
              </w:numPr>
              <w:ind w:left="13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营养成分要求：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12"/>
              <w:gridCol w:w="161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12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both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项目</w:t>
                  </w:r>
                </w:p>
              </w:tc>
              <w:tc>
                <w:tcPr>
                  <w:tcW w:w="1619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center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每100克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12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能量</w:t>
                  </w:r>
                </w:p>
              </w:tc>
              <w:tc>
                <w:tcPr>
                  <w:tcW w:w="1619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≥3700千焦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12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蛋白质</w:t>
                  </w:r>
                </w:p>
              </w:tc>
              <w:tc>
                <w:tcPr>
                  <w:tcW w:w="1619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0克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exact"/>
              </w:trPr>
              <w:tc>
                <w:tcPr>
                  <w:tcW w:w="1912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脂肪</w:t>
                  </w: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br w:type="textWrapping"/>
                  </w:r>
                </w:p>
              </w:tc>
              <w:tc>
                <w:tcPr>
                  <w:tcW w:w="1619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100克</w:t>
                  </w: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br w:type="textWrapping"/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7" w:hRule="atLeast"/>
              </w:trPr>
              <w:tc>
                <w:tcPr>
                  <w:tcW w:w="1912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胆固醇</w:t>
                  </w:r>
                </w:p>
              </w:tc>
              <w:tc>
                <w:tcPr>
                  <w:tcW w:w="1619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0毫克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12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碳水化合物</w:t>
                  </w:r>
                </w:p>
              </w:tc>
              <w:tc>
                <w:tcPr>
                  <w:tcW w:w="1619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0克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12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钠</w:t>
                  </w:r>
                </w:p>
              </w:tc>
              <w:tc>
                <w:tcPr>
                  <w:tcW w:w="1619" w:type="dxa"/>
                </w:tcPr>
                <w:p>
                  <w:pPr>
                    <w:pStyle w:val="3"/>
                    <w:numPr>
                      <w:ilvl w:val="0"/>
                      <w:numId w:val="0"/>
                    </w:numPr>
                    <w:jc w:val="left"/>
                    <w:rPr>
                      <w:rFonts w:hint="default" w:ascii="宋体" w:hAnsi="宋体" w:eastAsia="宋体" w:cs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vertAlign w:val="baseline"/>
                      <w:lang w:val="en-US" w:eastAsia="zh-CN"/>
                    </w:rPr>
                    <w:t>0毫克</w:t>
                  </w:r>
                </w:p>
              </w:tc>
            </w:tr>
          </w:tbl>
          <w:p>
            <w:pPr>
              <w:pStyle w:val="3"/>
              <w:numPr>
                <w:ilvl w:val="0"/>
                <w:numId w:val="2"/>
              </w:numPr>
              <w:ind w:left="13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加工工艺：压榨</w:t>
            </w:r>
          </w:p>
          <w:p>
            <w:pPr>
              <w:pStyle w:val="3"/>
              <w:numPr>
                <w:ilvl w:val="0"/>
                <w:numId w:val="2"/>
              </w:numPr>
              <w:ind w:left="13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质量等级：一级压榨花生油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6、</w:t>
            </w:r>
            <w: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  <w:t>营养成分及微生物含量等符合国家标准，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响应文件中须</w:t>
            </w:r>
            <w: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  <w:t>提供国家认可的第三方检测机构出具的检测报告复印件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检测依据见第 7点执行标准)</w:t>
            </w:r>
            <w: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  <w:t>，原件备查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。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7、执行标准：GB 1534-2017 《花生油》或优于该标准</w:t>
            </w:r>
            <w:bookmarkStart w:id="2" w:name="_GoBack"/>
            <w:bookmarkEnd w:id="2"/>
          </w:p>
          <w:p>
            <w:pPr>
              <w:pStyle w:val="3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8、质保期：≥18个月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9、交货时，花生油的剩余保质期不少于产品标注保质期的三分之二。</w:t>
            </w:r>
          </w:p>
          <w:p>
            <w:pPr>
              <w:pStyle w:val="3"/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、响应供应商须提供1个样品，用于项目评审，也作为最终交货产品。项目评审结束后，样品退还响应供应商。</w:t>
            </w:r>
          </w:p>
        </w:tc>
        <w:tc>
          <w:tcPr>
            <w:tcW w:w="414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花生油</w:t>
            </w:r>
            <w:r>
              <w:rPr>
                <w:rFonts w:hint="eastAsia" w:hAnsi="宋体"/>
                <w:szCs w:val="21"/>
              </w:rPr>
              <w:t>（</w:t>
            </w:r>
            <w:r>
              <w:rPr>
                <w:rFonts w:hint="eastAsia" w:hAnsi="宋体"/>
                <w:color w:val="FF0000"/>
                <w:szCs w:val="21"/>
              </w:rPr>
              <w:t>响应品牌规格</w:t>
            </w:r>
            <w:r>
              <w:rPr>
                <w:rFonts w:hint="eastAsia" w:hAnsi="宋体"/>
                <w:szCs w:val="21"/>
              </w:rPr>
              <w:t>）</w:t>
            </w:r>
          </w:p>
        </w:tc>
        <w:tc>
          <w:tcPr>
            <w:tcW w:w="1423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332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" w:type="pct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spacing w:val="-20"/>
                <w:szCs w:val="21"/>
                <w:lang w:val="en-US" w:eastAsia="zh-CN"/>
              </w:rPr>
            </w:pPr>
            <w:r>
              <w:rPr>
                <w:rFonts w:hint="eastAsia" w:hAnsi="宋体"/>
                <w:spacing w:val="-20"/>
                <w:szCs w:val="21"/>
                <w:lang w:val="en-US" w:eastAsia="zh-CN"/>
              </w:rPr>
              <w:t>2</w:t>
            </w:r>
          </w:p>
        </w:tc>
        <w:tc>
          <w:tcPr>
            <w:tcW w:w="387" w:type="pct"/>
            <w:vAlign w:val="center"/>
          </w:tcPr>
          <w:p>
            <w:pPr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保暖冬被</w:t>
            </w:r>
          </w:p>
        </w:tc>
        <w:tc>
          <w:tcPr>
            <w:tcW w:w="2242" w:type="pct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1、</w:t>
            </w:r>
            <w:r>
              <w:rPr>
                <w:rFonts w:hint="default" w:ascii="宋体" w:hAnsi="宋体" w:eastAsia="宋体" w:cs="宋体"/>
                <w:lang w:val="en-US" w:eastAsia="zh-CN"/>
              </w:rPr>
              <w:t>规格：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180</w:t>
            </w:r>
            <w:r>
              <w:rPr>
                <w:rFonts w:hint="default" w:ascii="宋体" w:hAnsi="宋体" w:eastAsia="宋体" w:cs="宋体"/>
                <w:lang w:val="en-US" w:eastAsia="zh-CN"/>
              </w:rPr>
              <w:t>*2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  <w:r>
              <w:rPr>
                <w:rFonts w:hint="default" w:ascii="宋体" w:hAnsi="宋体" w:eastAsia="宋体" w:cs="宋体"/>
                <w:lang w:val="en-US" w:eastAsia="zh-CN"/>
              </w:rPr>
              <w:t>0cm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2、克重：≥4斤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3、</w:t>
            </w:r>
            <w:r>
              <w:rPr>
                <w:rFonts w:hint="default" w:ascii="宋体" w:hAnsi="宋体" w:eastAsia="宋体" w:cs="宋体"/>
                <w:lang w:val="en-US" w:eastAsia="zh-CN"/>
              </w:rPr>
              <w:t>面料：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聚酯</w:t>
            </w:r>
            <w:r>
              <w:rPr>
                <w:rFonts w:hint="default" w:ascii="宋体" w:hAnsi="宋体" w:eastAsia="宋体" w:cs="宋体"/>
                <w:lang w:val="en-US" w:eastAsia="zh-CN"/>
              </w:rPr>
              <w:t>纤维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4、</w:t>
            </w:r>
            <w:r>
              <w:rPr>
                <w:rFonts w:hint="default" w:ascii="宋体" w:hAnsi="宋体" w:eastAsia="宋体" w:cs="宋体"/>
                <w:lang w:val="en-US" w:eastAsia="zh-CN"/>
              </w:rPr>
              <w:t>填充：大豆蛋白纤维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5、工艺：采用优质磨毛压花面料，精致的包边工艺，做工细致，精美纺缝，避免跑棉。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、执行标准：GB18401-2010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、供货时提供国家认可的具有资质的第三方检测机构出具的检测报告(检测依据见第 6 点执行标准）。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8、含合格证，注明产品名称、材质、规格、执行标准等必要信息。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9、独立包装盒或手提袋子。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▲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、响应供应商须提供1个样品，用于项目评审，也作为最终交货产品。项目评审结束后，样品退还响应供应商。</w:t>
            </w:r>
          </w:p>
          <w:p>
            <w:pPr>
              <w:pStyle w:val="3"/>
              <w:widowControl w:val="0"/>
              <w:numPr>
                <w:ilvl w:val="0"/>
                <w:numId w:val="3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产品参考图：</w:t>
            </w:r>
          </w:p>
          <w:p>
            <w:pPr>
              <w:pStyle w:val="3"/>
            </w:pPr>
            <w:r>
              <w:drawing>
                <wp:inline distT="0" distB="0" distL="114300" distR="114300">
                  <wp:extent cx="2192655" cy="1358265"/>
                  <wp:effectExtent l="0" t="0" r="17145" b="1333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655" cy="135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" w:type="pct"/>
            <w:vAlign w:val="center"/>
          </w:tcPr>
          <w:p>
            <w:pPr>
              <w:rPr>
                <w:rFonts w:hint="eastAsia" w:ascii="宋体" w:cs="Times New Roma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保暖冬被</w:t>
            </w:r>
            <w:r>
              <w:rPr>
                <w:rFonts w:hint="eastAsia" w:hAnsi="宋体"/>
                <w:szCs w:val="21"/>
              </w:rPr>
              <w:t>（</w:t>
            </w:r>
            <w:r>
              <w:rPr>
                <w:rFonts w:hint="eastAsia" w:hAnsi="宋体"/>
                <w:color w:val="FF0000"/>
                <w:szCs w:val="21"/>
              </w:rPr>
              <w:t>响应品牌规格</w:t>
            </w:r>
            <w:r>
              <w:rPr>
                <w:rFonts w:hint="eastAsia" w:hAnsi="宋体"/>
                <w:szCs w:val="21"/>
              </w:rPr>
              <w:t>）</w:t>
            </w:r>
          </w:p>
        </w:tc>
        <w:tc>
          <w:tcPr>
            <w:tcW w:w="1423" w:type="pct"/>
            <w:vAlign w:val="center"/>
          </w:tcPr>
          <w:p>
            <w:pPr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332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法定代表人或其被授权委托人（签字或盖章）：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75511"/>
    <w:multiLevelType w:val="singleLevel"/>
    <w:tmpl w:val="91475511"/>
    <w:lvl w:ilvl="0" w:tentative="0">
      <w:start w:val="1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2">
    <w:nsid w:val="40A21484"/>
    <w:multiLevelType w:val="singleLevel"/>
    <w:tmpl w:val="40A2148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B31551B"/>
    <w:rsid w:val="1CE92025"/>
    <w:rsid w:val="2B31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2023-11-13T08:37:00Z</dcterms:created>
  <dc:creator>WPS</dc:creator>
  <cp:lastModifiedBy>WPS</cp:lastModifiedBy>
  <dcterms:modified xsi:type="dcterms:W3CDTF">2023-11-13T08:41:59Z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EFA0375122E349BA980F35548E9C6E97_11</vt:lpwstr>
  </property>
</Properties>
</file>