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sz w:val="28"/>
          <w:szCs w:val="28"/>
        </w:rPr>
      </w:pPr>
      <w:r>
        <w:rPr>
          <w:rFonts w:hint="eastAsia" w:ascii="宋体" w:hAnsi="宋体" w:eastAsia="宋体" w:cs="宋体"/>
          <w:sz w:val="28"/>
          <w:szCs w:val="28"/>
        </w:rPr>
        <w:t>附件1</w:t>
      </w:r>
      <w:bookmarkStart w:id="0" w:name="_GoBack"/>
      <w:bookmarkEnd w:id="0"/>
    </w:p>
    <w:p>
      <w:pPr>
        <w:pStyle w:val="4"/>
        <w:jc w:val="center"/>
        <w:outlineLvl w:val="0"/>
        <w:rPr>
          <w:rFonts w:ascii="Times New Roman" w:hAnsi="Times New Roman"/>
          <w:b/>
          <w:sz w:val="36"/>
        </w:rPr>
      </w:pPr>
      <w:r>
        <w:rPr>
          <w:rFonts w:hint="eastAsia" w:ascii="Times New Roman" w:hAnsi="Times New Roman"/>
          <w:b/>
          <w:sz w:val="36"/>
        </w:rPr>
        <w:t>采购需求一览表</w:t>
      </w:r>
    </w:p>
    <w:tbl>
      <w:tblPr>
        <w:tblStyle w:val="5"/>
        <w:tblW w:w="103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86"/>
        <w:gridCol w:w="1134"/>
        <w:gridCol w:w="851"/>
        <w:gridCol w:w="696"/>
        <w:gridCol w:w="715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86"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696"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7158"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采购内容及技术参数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80" w:hRule="atLeast"/>
          <w:jc w:val="center"/>
        </w:trPr>
        <w:tc>
          <w:tcPr>
            <w:tcW w:w="486"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w:t>
            </w:r>
            <w:r>
              <w:rPr>
                <w:rFonts w:hint="eastAsia" w:ascii="宋体" w:cs="Times New Roman"/>
                <w:lang w:val="en-US" w:eastAsia="zh-CN"/>
              </w:rPr>
              <w:t>大门升级及亮化</w:t>
            </w:r>
            <w:r>
              <w:rPr>
                <w:rFonts w:hint="eastAsia" w:ascii="宋体" w:cs="Times New Roman"/>
              </w:rPr>
              <w:t>服务</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1项</w:t>
            </w:r>
          </w:p>
        </w:tc>
        <w:tc>
          <w:tcPr>
            <w:tcW w:w="696"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hAnsi="宋体" w:cs="宋体"/>
                <w:lang w:val="en-US" w:eastAsia="zh-CN"/>
              </w:rPr>
              <w:t>4.7</w:t>
            </w:r>
            <w:r>
              <w:rPr>
                <w:rFonts w:hint="eastAsia" w:ascii="宋体" w:hAnsi="宋体" w:cs="宋体"/>
              </w:rPr>
              <w:t>万元</w:t>
            </w:r>
          </w:p>
        </w:tc>
        <w:tc>
          <w:tcPr>
            <w:tcW w:w="7158" w:type="dxa"/>
            <w:tcBorders>
              <w:top w:val="single" w:color="auto" w:sz="4" w:space="0"/>
              <w:left w:val="single" w:color="auto" w:sz="4" w:space="0"/>
              <w:bottom w:val="single" w:color="auto" w:sz="4" w:space="0"/>
            </w:tcBorders>
            <w:vAlign w:val="center"/>
          </w:tcPr>
          <w:p>
            <w:pPr>
              <w:pStyle w:val="2"/>
              <w:numPr>
                <w:ilvl w:val="0"/>
                <w:numId w:val="2"/>
              </w:numPr>
            </w:pPr>
            <w:r>
              <w:rPr>
                <w:rFonts w:hint="eastAsia"/>
              </w:rPr>
              <w:t>为进一步美化献血环境，扩大无偿献血宣传度，</w:t>
            </w:r>
            <w:r>
              <w:rPr>
                <w:rFonts w:hint="eastAsia"/>
                <w:lang w:val="en-US" w:eastAsia="zh-CN"/>
              </w:rPr>
              <w:t>南宁中心血站拟对</w:t>
            </w:r>
            <w:r>
              <w:rPr>
                <w:rFonts w:hint="eastAsia"/>
              </w:rPr>
              <w:t>血站大门旁单位名称增加亮化设施和新建两个加装夜光亮化效果的宣传栏，</w:t>
            </w:r>
            <w:r>
              <w:rPr>
                <w:rFonts w:hint="eastAsia"/>
                <w:lang w:val="en-US" w:eastAsia="zh-CN"/>
              </w:rPr>
              <w:t>同时</w:t>
            </w:r>
            <w:r>
              <w:rPr>
                <w:rFonts w:hint="eastAsia"/>
              </w:rPr>
              <w:t>将靠近三十五中一侧两个宣传栏升级改造加装夜光亮化效果，</w:t>
            </w:r>
            <w:r>
              <w:rPr>
                <w:rFonts w:hint="eastAsia"/>
                <w:lang w:val="en-US" w:eastAsia="zh-CN"/>
              </w:rPr>
              <w:t>提升宣传效果。</w:t>
            </w:r>
            <w:r>
              <w:rPr>
                <w:rFonts w:hint="eastAsia"/>
              </w:rPr>
              <w:t>主要要求内容如下：</w:t>
            </w:r>
          </w:p>
          <w:tbl>
            <w:tblPr>
              <w:tblStyle w:val="5"/>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3"/>
              <w:gridCol w:w="873"/>
              <w:gridCol w:w="475"/>
              <w:gridCol w:w="500"/>
              <w:gridCol w:w="488"/>
              <w:gridCol w:w="488"/>
              <w:gridCol w:w="610"/>
              <w:gridCol w:w="28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23"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988"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尺寸（cm)</w:t>
                  </w:r>
                </w:p>
              </w:tc>
              <w:tc>
                <w:tcPr>
                  <w:tcW w:w="488"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610"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2847" w:type="dxa"/>
                  <w:vMerge w:val="restar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服务要求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23" w:type="dxa"/>
                  <w:vMerge w:val="continue"/>
                  <w:tcBorders>
                    <w:top w:val="single" w:color="000000" w:sz="4" w:space="0"/>
                    <w:left w:val="single" w:color="000000" w:sz="4" w:space="0"/>
                    <w:bottom w:val="single" w:color="000000" w:sz="4" w:space="0"/>
                    <w:right w:val="single" w:color="000000" w:sz="4" w:space="0"/>
                  </w:tcBorders>
                  <w:shd w:val="clear" w:color="auto" w:fill="D9D9D9"/>
                  <w:vAlign w:val="center"/>
                </w:tcPr>
                <w:p>
                  <w:pPr>
                    <w:jc w:val="center"/>
                    <w:rPr>
                      <w:rFonts w:hint="eastAsia" w:ascii="宋体" w:hAnsi="宋体" w:eastAsia="宋体" w:cs="宋体"/>
                      <w:b/>
                      <w:bCs/>
                      <w:i w:val="0"/>
                      <w:iCs w:val="0"/>
                      <w:color w:val="000000"/>
                      <w:sz w:val="24"/>
                      <w:szCs w:val="24"/>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D9D9D9"/>
                  <w:vAlign w:val="center"/>
                </w:tcPr>
                <w:p>
                  <w:pPr>
                    <w:jc w:val="center"/>
                    <w:rPr>
                      <w:rFonts w:hint="eastAsia" w:ascii="宋体" w:hAnsi="宋体" w:eastAsia="宋体" w:cs="宋体"/>
                      <w:b/>
                      <w:bCs/>
                      <w:i w:val="0"/>
                      <w:iCs w:val="0"/>
                      <w:color w:val="000000"/>
                      <w:sz w:val="24"/>
                      <w:szCs w:val="24"/>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D9D9D9"/>
                  <w:vAlign w:val="center"/>
                </w:tcPr>
                <w:p>
                  <w:pPr>
                    <w:jc w:val="center"/>
                    <w:rPr>
                      <w:rFonts w:hint="eastAsia" w:ascii="宋体" w:hAnsi="宋体" w:eastAsia="宋体" w:cs="宋体"/>
                      <w:b/>
                      <w:bCs/>
                      <w:i w:val="0"/>
                      <w:iCs w:val="0"/>
                      <w:color w:val="000000"/>
                      <w:sz w:val="24"/>
                      <w:szCs w:val="24"/>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长</w:t>
                  </w:r>
                </w:p>
              </w:tc>
              <w:tc>
                <w:tcPr>
                  <w:tcW w:w="488"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高</w:t>
                  </w:r>
                </w:p>
              </w:tc>
              <w:tc>
                <w:tcPr>
                  <w:tcW w:w="488" w:type="dxa"/>
                  <w:vMerge w:val="continue"/>
                  <w:tcBorders>
                    <w:top w:val="single" w:color="000000" w:sz="4" w:space="0"/>
                    <w:left w:val="single" w:color="000000" w:sz="4" w:space="0"/>
                    <w:bottom w:val="single" w:color="000000" w:sz="4" w:space="0"/>
                    <w:right w:val="single" w:color="000000" w:sz="4" w:space="0"/>
                  </w:tcBorders>
                  <w:shd w:val="clear" w:color="auto" w:fill="D9D9D9"/>
                  <w:vAlign w:val="center"/>
                </w:tcPr>
                <w:p>
                  <w:pPr>
                    <w:jc w:val="center"/>
                    <w:rPr>
                      <w:rFonts w:hint="eastAsia" w:ascii="宋体" w:hAnsi="宋体" w:eastAsia="宋体" w:cs="宋体"/>
                      <w:b/>
                      <w:bCs/>
                      <w:i w:val="0"/>
                      <w:iCs w:val="0"/>
                      <w:color w:val="000000"/>
                      <w:sz w:val="24"/>
                      <w:szCs w:val="24"/>
                      <w:u w:val="none"/>
                    </w:rPr>
                  </w:pPr>
                </w:p>
              </w:tc>
              <w:tc>
                <w:tcPr>
                  <w:tcW w:w="610" w:type="dxa"/>
                  <w:vMerge w:val="continue"/>
                  <w:tcBorders>
                    <w:top w:val="single" w:color="000000" w:sz="4" w:space="0"/>
                    <w:left w:val="single" w:color="000000" w:sz="4" w:space="0"/>
                    <w:bottom w:val="single" w:color="000000" w:sz="4" w:space="0"/>
                    <w:right w:val="single" w:color="000000" w:sz="4" w:space="0"/>
                  </w:tcBorders>
                  <w:shd w:val="clear" w:color="auto" w:fill="D9D9D9"/>
                  <w:vAlign w:val="center"/>
                </w:tcPr>
                <w:p>
                  <w:pPr>
                    <w:jc w:val="center"/>
                    <w:rPr>
                      <w:rFonts w:hint="eastAsia" w:ascii="宋体" w:hAnsi="宋体" w:eastAsia="宋体" w:cs="宋体"/>
                      <w:b/>
                      <w:bCs/>
                      <w:i w:val="0"/>
                      <w:iCs w:val="0"/>
                      <w:color w:val="000000"/>
                      <w:sz w:val="24"/>
                      <w:szCs w:val="24"/>
                      <w:u w:val="none"/>
                    </w:rPr>
                  </w:pPr>
                </w:p>
              </w:tc>
              <w:tc>
                <w:tcPr>
                  <w:tcW w:w="2847" w:type="dxa"/>
                  <w:vMerge w:val="continue"/>
                  <w:tcBorders>
                    <w:top w:val="single" w:color="000000" w:sz="4" w:space="0"/>
                    <w:left w:val="single" w:color="000000" w:sz="4" w:space="0"/>
                    <w:bottom w:val="single" w:color="000000" w:sz="4" w:space="0"/>
                    <w:right w:val="single" w:color="000000" w:sz="4" w:space="0"/>
                  </w:tcBorders>
                  <w:shd w:val="clear" w:color="auto" w:fill="D9D9D9"/>
                  <w:vAlign w:val="center"/>
                </w:tcPr>
                <w:p>
                  <w:pPr>
                    <w:jc w:val="center"/>
                    <w:rPr>
                      <w:rFonts w:hint="eastAsia" w:ascii="宋体" w:hAnsi="宋体" w:eastAsia="宋体" w:cs="宋体"/>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42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大门投光灯安装服务</w:t>
                  </w:r>
                </w:p>
              </w:tc>
              <w:tc>
                <w:tcPr>
                  <w:tcW w:w="4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50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8"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2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1、提供3盏50瓦LED户外投光灯并安装，要求色温为暖白光3500K，防水等级IP64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2、使用20A交流接触器，时控开关，25A空气开关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3、使用25*25方管，80cm焊接灯架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4、要求线路接立柱顶部亮化灯、线路套管，部分线管外露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423"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双面宣传栏1</w:t>
                  </w:r>
                </w:p>
              </w:tc>
              <w:tc>
                <w:tcPr>
                  <w:tcW w:w="4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平米</w:t>
                  </w:r>
                </w:p>
              </w:tc>
              <w:tc>
                <w:tcPr>
                  <w:tcW w:w="50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366</w:t>
                  </w:r>
                </w:p>
              </w:tc>
              <w:tc>
                <w:tcPr>
                  <w:tcW w:w="48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48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2847"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130175</wp:posOffset>
                        </wp:positionH>
                        <wp:positionV relativeFrom="paragraph">
                          <wp:posOffset>2763520</wp:posOffset>
                        </wp:positionV>
                        <wp:extent cx="1207770" cy="758825"/>
                        <wp:effectExtent l="0" t="0" r="11430" b="3175"/>
                        <wp:wrapNone/>
                        <wp:docPr id="9" name="图片_5"/>
                        <wp:cNvGraphicFramePr/>
                        <a:graphic xmlns:a="http://schemas.openxmlformats.org/drawingml/2006/main">
                          <a:graphicData uri="http://schemas.openxmlformats.org/drawingml/2006/picture">
                            <pic:pic xmlns:pic="http://schemas.openxmlformats.org/drawingml/2006/picture">
                              <pic:nvPicPr>
                                <pic:cNvPr id="9" name="图片_5"/>
                                <pic:cNvPicPr/>
                              </pic:nvPicPr>
                              <pic:blipFill>
                                <a:blip r:embed="rId4"/>
                                <a:stretch>
                                  <a:fillRect/>
                                </a:stretch>
                              </pic:blipFill>
                              <pic:spPr>
                                <a:xfrm>
                                  <a:off x="0" y="0"/>
                                  <a:ext cx="1207770" cy="75882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1、要求双面拆除原铁艺栏杆，拆除费用由成交供应商承担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2、要求框架为40*40*1.5、25*25*1.2镀锌方通焊接骨架，使用1.2mm镀锌板封顶和制作底部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3、内面灯箱内部使用4mm铝塑板，9厘阻燃板，内外框使用1.2mm不锈钢折弯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4、使用3.8mm厚透明耐力板 ，节能卷帘式LED漫反射灯，顶部使用不锈钢合页，底部使用不锈钢螺栓固定。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5、按照采购人确认后的设计要求进行制作，宣传栏图示如下：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23"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双面宣传栏2</w:t>
                  </w:r>
                </w:p>
              </w:tc>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平米</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342</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284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原宣传栏改造设计及安装服务服务</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355</w:t>
                  </w:r>
                </w:p>
              </w:tc>
              <w:tc>
                <w:tcPr>
                  <w:tcW w:w="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w:t>
                  </w:r>
                </w:p>
              </w:tc>
              <w:tc>
                <w:tcPr>
                  <w:tcW w:w="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1、服务要求：在合理的范围内增加合适的亮度。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2、材质要求：使用3.8mm厚透明耐力板 ，节能卷帘式LED漫反射灯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3、按照采购人确认后的设计要求进行制作，定制尺寸。</w:t>
                  </w:r>
                </w:p>
              </w:tc>
            </w:tr>
          </w:tbl>
          <w:p>
            <w:pPr>
              <w:pStyle w:val="2"/>
              <w:rPr>
                <w:rFonts w:hint="default" w:eastAsia="宋体"/>
                <w:lang w:val="en-US" w:eastAsia="zh-CN"/>
              </w:rPr>
            </w:pPr>
          </w:p>
          <w:p>
            <w:pPr>
              <w:pStyle w:val="2"/>
              <w:numPr>
                <w:ilvl w:val="0"/>
                <w:numId w:val="2"/>
              </w:numPr>
              <w:ind w:left="0" w:leftChars="0" w:firstLine="0" w:firstLineChars="0"/>
              <w:rPr>
                <w:rFonts w:hint="eastAsia" w:eastAsia="宋体"/>
                <w:lang w:val="en-US" w:eastAsia="zh-CN"/>
              </w:rPr>
            </w:pPr>
            <w:r>
              <w:rPr>
                <w:rFonts w:hint="eastAsia" w:eastAsia="宋体"/>
                <w:lang w:val="en-US" w:eastAsia="zh-CN"/>
              </w:rPr>
              <w:t>安装位置：</w:t>
            </w:r>
          </w:p>
          <w:p>
            <w:pPr>
              <w:pStyle w:val="2"/>
              <w:numPr>
                <w:ilvl w:val="0"/>
                <w:numId w:val="0"/>
              </w:numPr>
              <w:ind w:leftChars="0"/>
              <w:rPr>
                <w:rFonts w:hint="eastAsia" w:eastAsia="宋体"/>
                <w:lang w:val="en-US" w:eastAsia="zh-CN"/>
              </w:rPr>
            </w:pPr>
            <w:r>
              <w:rPr>
                <w:rFonts w:hint="default" w:eastAsia="宋体"/>
                <w:lang w:val="en-US" w:eastAsia="zh-CN"/>
              </w:rPr>
              <w:t>大门投光灯安装</w:t>
            </w:r>
            <w:r>
              <w:rPr>
                <w:rFonts w:hint="eastAsia" w:eastAsia="宋体"/>
                <w:lang w:val="en-US" w:eastAsia="zh-CN"/>
              </w:rPr>
              <w:t>位置：</w:t>
            </w:r>
          </w:p>
          <w:p>
            <w:pPr>
              <w:pStyle w:val="2"/>
              <w:numPr>
                <w:ilvl w:val="0"/>
                <w:numId w:val="0"/>
              </w:numPr>
              <w:ind w:leftChars="0"/>
            </w:pPr>
            <w:r>
              <w:drawing>
                <wp:inline distT="0" distB="0" distL="114300" distR="114300">
                  <wp:extent cx="3617595" cy="2717800"/>
                  <wp:effectExtent l="0" t="0" r="1905" b="635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3617595" cy="2717800"/>
                          </a:xfrm>
                          <a:prstGeom prst="rect">
                            <a:avLst/>
                          </a:prstGeom>
                          <a:noFill/>
                          <a:ln w="9525">
                            <a:noFill/>
                          </a:ln>
                        </pic:spPr>
                      </pic:pic>
                    </a:graphicData>
                  </a:graphic>
                </wp:inline>
              </w:drawing>
            </w:r>
          </w:p>
          <w:p>
            <w:pPr>
              <w:pStyle w:val="2"/>
              <w:numPr>
                <w:ilvl w:val="0"/>
                <w:numId w:val="0"/>
              </w:numPr>
              <w:ind w:leftChars="0"/>
              <w:rPr>
                <w:rFonts w:hint="eastAsia"/>
                <w:lang w:val="en-US" w:eastAsia="zh-CN"/>
              </w:rPr>
            </w:pPr>
            <w:r>
              <w:rPr>
                <w:rFonts w:hint="eastAsia"/>
                <w:lang w:val="en-US" w:eastAsia="zh-CN"/>
              </w:rPr>
              <w:t>双面宣传栏：</w:t>
            </w:r>
          </w:p>
          <w:p>
            <w:pPr>
              <w:pStyle w:val="2"/>
              <w:numPr>
                <w:ilvl w:val="0"/>
                <w:numId w:val="0"/>
              </w:numPr>
              <w:ind w:leftChars="0"/>
            </w:pPr>
            <w:r>
              <w:drawing>
                <wp:inline distT="0" distB="0" distL="114300" distR="114300">
                  <wp:extent cx="3606165" cy="2784475"/>
                  <wp:effectExtent l="0" t="0" r="13335" b="1587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3606165" cy="2784475"/>
                          </a:xfrm>
                          <a:prstGeom prst="rect">
                            <a:avLst/>
                          </a:prstGeom>
                          <a:noFill/>
                          <a:ln w="9525">
                            <a:noFill/>
                          </a:ln>
                        </pic:spPr>
                      </pic:pic>
                    </a:graphicData>
                  </a:graphic>
                </wp:inline>
              </w:drawing>
            </w:r>
          </w:p>
          <w:p>
            <w:pPr>
              <w:pStyle w:val="2"/>
              <w:numPr>
                <w:ilvl w:val="0"/>
                <w:numId w:val="0"/>
              </w:numPr>
              <w:ind w:leftChars="0"/>
              <w:rPr>
                <w:rFonts w:hint="eastAsia"/>
                <w:lang w:val="en-US" w:eastAsia="zh-CN"/>
              </w:rPr>
            </w:pPr>
            <w:r>
              <w:rPr>
                <w:rFonts w:hint="default"/>
                <w:lang w:val="en-US" w:eastAsia="zh-CN"/>
              </w:rPr>
              <w:t>原宣传栏改造设计及安装</w:t>
            </w:r>
            <w:r>
              <w:rPr>
                <w:rFonts w:hint="eastAsia"/>
                <w:lang w:val="en-US" w:eastAsia="zh-CN"/>
              </w:rPr>
              <w:t>：</w:t>
            </w:r>
          </w:p>
          <w:p>
            <w:pPr>
              <w:pStyle w:val="2"/>
              <w:numPr>
                <w:ilvl w:val="0"/>
                <w:numId w:val="0"/>
              </w:numPr>
              <w:ind w:leftChars="0"/>
              <w:rPr>
                <w:rFonts w:hint="default"/>
                <w:lang w:val="en-US" w:eastAsia="zh-CN"/>
              </w:rPr>
            </w:pPr>
            <w:r>
              <w:drawing>
                <wp:inline distT="0" distB="0" distL="114300" distR="114300">
                  <wp:extent cx="3580765" cy="2764790"/>
                  <wp:effectExtent l="0" t="0" r="635" b="1651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7"/>
                          <a:stretch>
                            <a:fillRect/>
                          </a:stretch>
                        </pic:blipFill>
                        <pic:spPr>
                          <a:xfrm>
                            <a:off x="0" y="0"/>
                            <a:ext cx="3580765" cy="276479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86"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9839" w:type="dxa"/>
            <w:gridSpan w:val="4"/>
            <w:tcBorders>
              <w:top w:val="single" w:color="auto" w:sz="4" w:space="0"/>
              <w:left w:val="single" w:color="auto" w:sz="4" w:space="0"/>
              <w:bottom w:val="single" w:color="auto" w:sz="4" w:space="0"/>
            </w:tcBorders>
            <w:vAlign w:val="center"/>
          </w:tcPr>
          <w:p>
            <w:pPr>
              <w:pStyle w:val="2"/>
            </w:pPr>
            <w:r>
              <w:rPr>
                <w:rFonts w:hint="eastAsia"/>
              </w:rPr>
              <w:t>一、合同签订期：自采购结果公告结束之日起</w:t>
            </w:r>
            <w:r>
              <w:rPr>
                <w:rFonts w:hint="eastAsia"/>
                <w:lang w:val="en-US" w:eastAsia="zh-CN"/>
              </w:rPr>
              <w:t>5</w:t>
            </w:r>
            <w:r>
              <w:rPr>
                <w:rFonts w:hint="eastAsia"/>
              </w:rPr>
              <w:t xml:space="preserve">个工作日内。 </w:t>
            </w:r>
          </w:p>
          <w:p>
            <w:pPr>
              <w:pStyle w:val="2"/>
            </w:pPr>
            <w:r>
              <w:rPr>
                <w:rFonts w:hint="eastAsia"/>
              </w:rPr>
              <w:t>二、服务时间：自合同签订之日起</w:t>
            </w:r>
            <w:r>
              <w:rPr>
                <w:rFonts w:hint="eastAsia"/>
                <w:highlight w:val="yellow"/>
                <w:lang w:val="en-US" w:eastAsia="zh-CN"/>
              </w:rPr>
              <w:t>12</w:t>
            </w:r>
            <w:r>
              <w:rPr>
                <w:rFonts w:hint="eastAsia"/>
                <w:highlight w:val="yellow"/>
              </w:rPr>
              <w:t>日</w:t>
            </w:r>
            <w:r>
              <w:rPr>
                <w:rFonts w:hint="eastAsia"/>
              </w:rPr>
              <w:t xml:space="preserve">内按照采购人指定地点交付。 </w:t>
            </w:r>
          </w:p>
          <w:p>
            <w:pPr>
              <w:pStyle w:val="2"/>
            </w:pPr>
            <w:r>
              <w:rPr>
                <w:rFonts w:hint="eastAsia"/>
              </w:rPr>
              <w:t xml:space="preserve">三、提交服务成果地点：南宁市内采购人指定地点。 </w:t>
            </w:r>
          </w:p>
          <w:p>
            <w:pPr>
              <w:pStyle w:val="2"/>
            </w:pPr>
            <w:r>
              <w:rPr>
                <w:rFonts w:hint="eastAsia"/>
              </w:rPr>
              <w:t xml:space="preserve">四、售后服务要求： </w:t>
            </w:r>
          </w:p>
          <w:p>
            <w:pPr>
              <w:pStyle w:val="2"/>
              <w:rPr>
                <w:rFonts w:hint="eastAsia"/>
              </w:rPr>
            </w:pPr>
            <w:r>
              <w:rPr>
                <w:rFonts w:hint="eastAsia"/>
              </w:rPr>
              <w:t xml:space="preserve">1、质量保证期：服务验收合格之日起1年。 </w:t>
            </w:r>
          </w:p>
          <w:p>
            <w:pPr>
              <w:pStyle w:val="2"/>
              <w:rPr>
                <w:rFonts w:hint="default" w:eastAsiaTheme="minorEastAsia"/>
                <w:highlight w:val="none"/>
                <w:lang w:val="en-US" w:eastAsia="zh-CN"/>
              </w:rPr>
            </w:pPr>
            <w:r>
              <w:rPr>
                <w:rFonts w:hint="eastAsia"/>
                <w:highlight w:val="none"/>
                <w:lang w:val="en-US" w:eastAsia="zh-CN"/>
              </w:rPr>
              <w:t>2、</w:t>
            </w:r>
            <w:r>
              <w:rPr>
                <w:rFonts w:hint="eastAsia"/>
                <w:highlight w:val="none"/>
              </w:rPr>
              <w:t>质量保证期</w:t>
            </w:r>
            <w:r>
              <w:rPr>
                <w:rFonts w:hint="eastAsia"/>
                <w:highlight w:val="none"/>
                <w:lang w:val="en-US" w:eastAsia="zh-CN"/>
              </w:rPr>
              <w:t>间宣传栏及户外灯安装要求牢固，不能松动脱落，如有出现松动脱落情况由成交供应商负责维护，所产生的费用由成交供应商承担，如造成责任事故由成交供应商负全责。</w:t>
            </w:r>
          </w:p>
          <w:p>
            <w:pPr>
              <w:pStyle w:val="2"/>
            </w:pPr>
            <w:r>
              <w:rPr>
                <w:rFonts w:hint="eastAsia"/>
                <w:lang w:val="en-US" w:eastAsia="zh-CN"/>
              </w:rPr>
              <w:t>3</w:t>
            </w:r>
            <w:r>
              <w:rPr>
                <w:rFonts w:hint="eastAsia"/>
              </w:rPr>
              <w:t>、处理问题响应时间：质量保证期</w:t>
            </w:r>
            <w:r>
              <w:rPr>
                <w:rFonts w:hint="eastAsia"/>
                <w:lang w:val="en-US" w:eastAsia="zh-CN"/>
              </w:rPr>
              <w:t>内</w:t>
            </w:r>
            <w:r>
              <w:rPr>
                <w:rFonts w:hint="eastAsia"/>
              </w:rPr>
              <w:t>成交供应商接到采购人处理问题通知后 2 小时内到达采购人指定现场。</w:t>
            </w:r>
          </w:p>
          <w:p>
            <w:pPr>
              <w:pStyle w:val="2"/>
            </w:pPr>
            <w:r>
              <w:rPr>
                <w:rFonts w:hint="eastAsia"/>
              </w:rPr>
              <w:t>五、其他要求：</w:t>
            </w:r>
          </w:p>
          <w:p>
            <w:pPr>
              <w:pStyle w:val="2"/>
            </w:pPr>
            <w:r>
              <w:rPr>
                <w:rFonts w:hint="eastAsia"/>
              </w:rPr>
              <w:t>1、投标报价为采购人指定地点的现场交货价，包括：</w:t>
            </w:r>
          </w:p>
          <w:p>
            <w:pPr>
              <w:pStyle w:val="2"/>
            </w:pPr>
            <w:r>
              <w:rPr>
                <w:rFonts w:hint="eastAsia"/>
              </w:rPr>
              <w:t>（1）服务的价格；</w:t>
            </w:r>
          </w:p>
          <w:p>
            <w:pPr>
              <w:pStyle w:val="2"/>
            </w:pPr>
            <w:r>
              <w:rPr>
                <w:rFonts w:hint="eastAsia"/>
              </w:rPr>
              <w:t>（2）服务所需材料、标准附件、备品备件、专用工具的价格；</w:t>
            </w:r>
          </w:p>
          <w:p>
            <w:pPr>
              <w:pStyle w:val="2"/>
            </w:pPr>
            <w:r>
              <w:rPr>
                <w:rFonts w:hint="eastAsia"/>
              </w:rPr>
              <w:t>（3）运输、装卸、吊装、技术支持、售后服务等费用；</w:t>
            </w:r>
          </w:p>
          <w:p>
            <w:pPr>
              <w:pStyle w:val="2"/>
            </w:pPr>
            <w:r>
              <w:rPr>
                <w:rFonts w:hint="eastAsia"/>
              </w:rPr>
              <w:t>（4）必要的保险费用和各项税费；</w:t>
            </w:r>
          </w:p>
          <w:p>
            <w:pPr>
              <w:pStyle w:val="2"/>
            </w:pPr>
            <w:r>
              <w:rPr>
                <w:rFonts w:hint="eastAsia"/>
              </w:rPr>
              <w:t>（5）设计费、安装费、人工费、交通费、维护费等所有费用。</w:t>
            </w:r>
          </w:p>
          <w:p>
            <w:pPr>
              <w:pStyle w:val="2"/>
            </w:pPr>
            <w:r>
              <w:rPr>
                <w:rFonts w:hint="eastAsia"/>
              </w:rPr>
              <w:t>2、制作安装过程中如出现与采购人需求表产生细微差别（如数量和尺寸变更）时，按采购人新要求进行修改，不增加额外费用。</w:t>
            </w:r>
          </w:p>
          <w:p>
            <w:pPr>
              <w:pStyle w:val="2"/>
            </w:pPr>
            <w:r>
              <w:rPr>
                <w:rFonts w:hint="eastAsia"/>
              </w:rPr>
              <w:t>3、付款方式：服务完成并</w:t>
            </w:r>
            <w:r>
              <w:rPr>
                <w:rFonts w:hint="eastAsia"/>
                <w:lang w:val="en-US" w:eastAsia="zh-CN"/>
              </w:rPr>
              <w:t>经采购人</w:t>
            </w:r>
            <w:r>
              <w:rPr>
                <w:rFonts w:hint="eastAsia"/>
              </w:rPr>
              <w:t xml:space="preserve">验收合格后15个工作日内一次性支付合同款（付款前成交供应商须提供等额合规的增值税发票）。 </w:t>
            </w:r>
          </w:p>
          <w:p>
            <w:pPr>
              <w:pStyle w:val="2"/>
              <w:rPr>
                <w:rFonts w:ascii="宋体" w:hAnsi="宋体"/>
              </w:rPr>
            </w:pPr>
            <w:r>
              <w:rPr>
                <w:rFonts w:hint="eastAsia"/>
              </w:rPr>
              <w:t xml:space="preserve">4、合同期间，成交供应商对己方工作人员的安全承担全部责任。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405C48"/>
    <w:multiLevelType w:val="singleLevel"/>
    <w:tmpl w:val="A6405C48"/>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2C60D6B"/>
    <w:rsid w:val="42C60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2023-12-04T08:52:00Z</dcterms:created>
  <dc:creator>WPS</dc:creator>
  <cp:lastModifiedBy>WPS</cp:lastModifiedBy>
  <dcterms:modified xsi:type="dcterms:W3CDTF">2023-12-04T08:52:35Z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2AE6B09090C64E8381550E0326D50146_11</vt:lpwstr>
  </property>
</Properties>
</file>