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asciiTheme="minorEastAsia" w:hAnsiTheme="minorEastAsia"/>
          <w:sz w:val="28"/>
          <w:szCs w:val="28"/>
        </w:rPr>
      </w:pPr>
      <w:bookmarkStart w:id="0" w:name="_Toc27988011"/>
      <w:r>
        <w:rPr>
          <w:rFonts w:hint="eastAsia" w:asciiTheme="minorEastAsia" w:hAnsiTheme="minorEastAsia"/>
          <w:sz w:val="28"/>
          <w:szCs w:val="28"/>
        </w:rPr>
        <w:t>附件1：</w:t>
      </w:r>
      <w:bookmarkStart w:id="1" w:name="_GoBack"/>
      <w:bookmarkEnd w:id="1"/>
    </w:p>
    <w:bookmarkEnd w:id="0"/>
    <w:p>
      <w:pPr>
        <w:pStyle w:val="4"/>
        <w:jc w:val="center"/>
        <w:outlineLvl w:val="0"/>
        <w:rPr>
          <w:rFonts w:ascii="Times New Roman" w:hAnsi="Times New Roman"/>
          <w:b/>
          <w:sz w:val="36"/>
        </w:rPr>
      </w:pPr>
      <w:r>
        <w:rPr>
          <w:rFonts w:hint="eastAsia" w:ascii="Times New Roman" w:hAnsi="Times New Roman"/>
          <w:b/>
          <w:sz w:val="36"/>
        </w:rPr>
        <w:t>采购需求一览表</w:t>
      </w:r>
    </w:p>
    <w:p>
      <w:pPr>
        <w:pStyle w:val="4"/>
        <w:ind w:left="632" w:hanging="632" w:hangingChars="300"/>
        <w:rPr>
          <w:b/>
        </w:rPr>
      </w:pPr>
      <w:r>
        <w:rPr>
          <w:rFonts w:hint="eastAsia"/>
          <w:b/>
        </w:rPr>
        <w:t>说明：本采购需求一览表中标注</w:t>
      </w:r>
      <w:r>
        <w:rPr>
          <w:rFonts w:hint="eastAsia"/>
          <w:lang w:val="en-US" w:eastAsia="zh-CN"/>
        </w:rPr>
        <w:t>▲</w:t>
      </w:r>
      <w:r>
        <w:rPr>
          <w:rFonts w:hint="eastAsia"/>
          <w:b/>
        </w:rPr>
        <w:t>号的内容为实质性要求和条件，响应人必须满足或优于，不满足或负偏离视为无效响应。</w:t>
      </w:r>
    </w:p>
    <w:tbl>
      <w:tblPr>
        <w:tblStyle w:val="5"/>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076"/>
        <w:gridCol w:w="610"/>
        <w:gridCol w:w="743"/>
        <w:gridCol w:w="631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rPr>
            </w:pPr>
            <w:r>
              <w:rPr>
                <w:rFonts w:hint="eastAsia" w:ascii="宋体" w:hAnsi="宋体" w:cs="宋体"/>
                <w:b/>
                <w:bCs/>
              </w:rPr>
              <w:t>项号</w:t>
            </w:r>
          </w:p>
        </w:tc>
        <w:tc>
          <w:tcPr>
            <w:tcW w:w="1076"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服务名称</w:t>
            </w:r>
          </w:p>
        </w:tc>
        <w:tc>
          <w:tcPr>
            <w:tcW w:w="6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rPr>
            </w:pPr>
            <w:r>
              <w:rPr>
                <w:rFonts w:hint="eastAsia" w:ascii="宋体" w:hAnsi="宋体" w:cs="宋体"/>
                <w:b/>
                <w:bCs/>
              </w:rPr>
              <w:t>数量</w:t>
            </w:r>
          </w:p>
        </w:tc>
        <w:tc>
          <w:tcPr>
            <w:tcW w:w="743"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rPr>
            </w:pPr>
            <w:r>
              <w:rPr>
                <w:rFonts w:hint="eastAsia" w:ascii="宋体" w:hAnsi="宋体" w:cs="宋体"/>
                <w:b/>
                <w:bCs/>
              </w:rPr>
              <w:t>预算</w:t>
            </w:r>
          </w:p>
        </w:tc>
        <w:tc>
          <w:tcPr>
            <w:tcW w:w="6313" w:type="dxa"/>
            <w:tcBorders>
              <w:top w:val="single" w:color="auto" w:sz="4" w:space="0"/>
              <w:left w:val="single" w:color="auto" w:sz="4" w:space="0"/>
              <w:bottom w:val="single" w:color="auto" w:sz="4" w:space="0"/>
            </w:tcBorders>
            <w:vAlign w:val="center"/>
          </w:tcPr>
          <w:p>
            <w:pPr>
              <w:jc w:val="center"/>
              <w:rPr>
                <w:rFonts w:ascii="宋体" w:cs="Times New Roman"/>
                <w:b/>
                <w:bCs/>
              </w:rPr>
            </w:pPr>
            <w:r>
              <w:rPr>
                <w:rFonts w:hint="eastAsia" w:ascii="宋体" w:hAnsi="宋体" w:cs="宋体"/>
                <w:b/>
                <w:bCs/>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15"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rPr>
            </w:pPr>
            <w:r>
              <w:rPr>
                <w:rFonts w:ascii="宋体" w:hAnsi="宋体" w:cs="宋体"/>
              </w:rPr>
              <w:t>1</w:t>
            </w:r>
          </w:p>
        </w:tc>
        <w:tc>
          <w:tcPr>
            <w:tcW w:w="1076"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highlight w:val="none"/>
              </w:rPr>
            </w:pPr>
            <w:r>
              <w:rPr>
                <w:rFonts w:hint="eastAsia" w:ascii="宋体" w:cs="Times New Roman"/>
                <w:highlight w:val="none"/>
              </w:rPr>
              <w:t>南宁中心血站</w:t>
            </w:r>
            <w:r>
              <w:rPr>
                <w:rFonts w:hint="eastAsia" w:ascii="宋体" w:cs="Times New Roman"/>
                <w:highlight w:val="none"/>
                <w:lang w:val="en-US" w:eastAsia="zh-CN"/>
              </w:rPr>
              <w:t>2024年微信服务系统</w:t>
            </w:r>
          </w:p>
        </w:tc>
        <w:tc>
          <w:tcPr>
            <w:tcW w:w="6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highlight w:val="none"/>
              </w:rPr>
            </w:pPr>
            <w:r>
              <w:rPr>
                <w:rFonts w:hint="eastAsia" w:ascii="宋体" w:hAnsi="宋体" w:cs="宋体"/>
                <w:highlight w:val="none"/>
              </w:rPr>
              <w:t>1项</w:t>
            </w:r>
          </w:p>
        </w:tc>
        <w:tc>
          <w:tcPr>
            <w:tcW w:w="743"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highlight w:val="none"/>
              </w:rPr>
            </w:pPr>
            <w:r>
              <w:rPr>
                <w:rFonts w:hint="eastAsia" w:ascii="宋体" w:hAnsi="宋体" w:cs="宋体"/>
                <w:highlight w:val="none"/>
                <w:lang w:val="en-US" w:eastAsia="zh-CN"/>
              </w:rPr>
              <w:t>8万</w:t>
            </w:r>
            <w:r>
              <w:rPr>
                <w:rFonts w:hint="eastAsia" w:ascii="宋体" w:hAnsi="宋体" w:cs="宋体"/>
                <w:highlight w:val="none"/>
              </w:rPr>
              <w:t>元</w:t>
            </w:r>
          </w:p>
        </w:tc>
        <w:tc>
          <w:tcPr>
            <w:tcW w:w="6313" w:type="dxa"/>
            <w:tcBorders>
              <w:top w:val="single" w:color="auto" w:sz="4" w:space="0"/>
              <w:left w:val="single" w:color="auto" w:sz="4" w:space="0"/>
              <w:bottom w:val="single" w:color="auto" w:sz="4" w:space="0"/>
            </w:tcBorders>
            <w:vAlign w:val="center"/>
          </w:tcPr>
          <w:p>
            <w:pPr>
              <w:pStyle w:val="2"/>
              <w:numPr>
                <w:ilvl w:val="0"/>
                <w:numId w:val="0"/>
              </w:numPr>
              <w:rPr>
                <w:rFonts w:hint="default"/>
                <w:highlight w:val="none"/>
                <w:lang w:val="en-US" w:eastAsia="zh-CN"/>
              </w:rPr>
            </w:pPr>
            <w:r>
              <w:rPr>
                <w:rFonts w:hint="default"/>
                <w:highlight w:val="none"/>
                <w:lang w:val="en-US" w:eastAsia="zh-CN"/>
              </w:rPr>
              <w:t>一、项目概况</w:t>
            </w:r>
            <w:r>
              <w:rPr>
                <w:rFonts w:hint="eastAsia"/>
                <w:highlight w:val="none"/>
                <w:lang w:val="en-US" w:eastAsia="zh-CN"/>
              </w:rPr>
              <w:t>：</w:t>
            </w:r>
          </w:p>
          <w:p>
            <w:pPr>
              <w:pStyle w:val="2"/>
              <w:numPr>
                <w:ilvl w:val="0"/>
                <w:numId w:val="0"/>
              </w:numPr>
              <w:ind w:firstLine="420" w:firstLineChars="200"/>
              <w:rPr>
                <w:rFonts w:hint="default"/>
                <w:highlight w:val="none"/>
                <w:lang w:val="en-US" w:eastAsia="zh-CN"/>
              </w:rPr>
            </w:pPr>
            <w:r>
              <w:rPr>
                <w:rFonts w:hint="default"/>
                <w:highlight w:val="none"/>
                <w:lang w:val="en-US" w:eastAsia="zh-CN"/>
              </w:rPr>
              <w:t>本次采购主要通过建设互联网+无偿献血宣传招募平台，将利用互联网、大数据、人工智能等新技术手段，开展全市的无偿献血宣传招募管理工作，拓展无偿献血“互联网+”模式，改善无偿献血环境，提供便捷的利民服务措施，营造良好的舆论氛围，有效地建立互动机制，实现良好的社会献血组织模型。最终解决献血人群不稳定，难组织，城市医疗血液供应不足的问题，提升无偿献血抗风险能力，从而更好的推动无偿献血事业的健康可持续发展。</w:t>
            </w:r>
          </w:p>
          <w:p>
            <w:pPr>
              <w:pStyle w:val="2"/>
              <w:numPr>
                <w:ilvl w:val="0"/>
                <w:numId w:val="2"/>
              </w:numPr>
              <w:rPr>
                <w:rFonts w:hint="eastAsia"/>
                <w:highlight w:val="none"/>
                <w:lang w:val="en-US" w:eastAsia="zh-CN"/>
              </w:rPr>
            </w:pPr>
            <w:r>
              <w:rPr>
                <w:rFonts w:hint="eastAsia"/>
                <w:highlight w:val="none"/>
                <w:lang w:val="en-US" w:eastAsia="zh-CN"/>
              </w:rPr>
              <w:t>项目建设内容：</w:t>
            </w:r>
          </w:p>
          <w:tbl>
            <w:tblPr>
              <w:tblStyle w:val="5"/>
              <w:tblpPr w:leftFromText="180" w:rightFromText="180" w:vertAnchor="text" w:horzAnchor="page" w:tblpX="342" w:tblpY="207"/>
              <w:tblOverlap w:val="never"/>
              <w:tblW w:w="4641" w:type="pct"/>
              <w:tblInd w:w="0" w:type="dxa"/>
              <w:tblLayout w:type="fixed"/>
              <w:tblCellMar>
                <w:top w:w="0" w:type="dxa"/>
                <w:left w:w="108" w:type="dxa"/>
                <w:bottom w:w="0" w:type="dxa"/>
                <w:right w:w="108" w:type="dxa"/>
              </w:tblCellMar>
            </w:tblPr>
            <w:tblGrid>
              <w:gridCol w:w="459"/>
              <w:gridCol w:w="566"/>
              <w:gridCol w:w="594"/>
              <w:gridCol w:w="1556"/>
              <w:gridCol w:w="547"/>
              <w:gridCol w:w="769"/>
              <w:gridCol w:w="1169"/>
            </w:tblGrid>
            <w:tr>
              <w:tblPrEx>
                <w:tblCellMar>
                  <w:top w:w="0" w:type="dxa"/>
                  <w:left w:w="108" w:type="dxa"/>
                  <w:bottom w:w="0" w:type="dxa"/>
                  <w:right w:w="108" w:type="dxa"/>
                </w:tblCellMar>
              </w:tblPrEx>
              <w:trPr>
                <w:trHeight w:val="490" w:hRule="atLeast"/>
              </w:trPr>
              <w:tc>
                <w:tcPr>
                  <w:tcW w:w="405"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highlight w:val="none"/>
                    </w:rPr>
                  </w:pPr>
                  <w:r>
                    <w:rPr>
                      <w:rFonts w:hint="eastAsia" w:ascii="仿宋" w:hAnsi="仿宋" w:eastAsia="仿宋" w:cs="宋体"/>
                      <w:b/>
                      <w:bCs/>
                      <w:color w:val="000000"/>
                      <w:kern w:val="0"/>
                      <w:sz w:val="18"/>
                      <w:szCs w:val="18"/>
                      <w:highlight w:val="none"/>
                    </w:rPr>
                    <w:t>项目</w:t>
                  </w:r>
                </w:p>
              </w:tc>
              <w:tc>
                <w:tcPr>
                  <w:tcW w:w="49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highlight w:val="none"/>
                    </w:rPr>
                  </w:pPr>
                  <w:r>
                    <w:rPr>
                      <w:rFonts w:hint="eastAsia" w:ascii="仿宋" w:hAnsi="仿宋" w:eastAsia="仿宋" w:cs="宋体"/>
                      <w:b/>
                      <w:bCs/>
                      <w:color w:val="000000"/>
                      <w:kern w:val="0"/>
                      <w:sz w:val="18"/>
                      <w:szCs w:val="18"/>
                      <w:highlight w:val="none"/>
                    </w:rPr>
                    <w:t>系统</w:t>
                  </w:r>
                </w:p>
              </w:tc>
              <w:tc>
                <w:tcPr>
                  <w:tcW w:w="52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highlight w:val="none"/>
                    </w:rPr>
                  </w:pPr>
                  <w:r>
                    <w:rPr>
                      <w:rFonts w:hint="eastAsia" w:ascii="仿宋" w:hAnsi="仿宋" w:eastAsia="仿宋" w:cs="宋体"/>
                      <w:b/>
                      <w:bCs/>
                      <w:color w:val="000000"/>
                      <w:kern w:val="0"/>
                      <w:sz w:val="18"/>
                      <w:szCs w:val="18"/>
                      <w:highlight w:val="none"/>
                    </w:rPr>
                    <w:t>子系统</w:t>
                  </w:r>
                </w:p>
              </w:tc>
              <w:tc>
                <w:tcPr>
                  <w:tcW w:w="137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宋体"/>
                      <w:b/>
                      <w:bCs/>
                      <w:color w:val="000000"/>
                      <w:kern w:val="0"/>
                      <w:sz w:val="18"/>
                      <w:szCs w:val="18"/>
                      <w:highlight w:val="none"/>
                      <w:lang w:eastAsia="zh-CN"/>
                    </w:rPr>
                  </w:pPr>
                  <w:r>
                    <w:rPr>
                      <w:rFonts w:hint="eastAsia" w:ascii="仿宋" w:hAnsi="仿宋" w:eastAsia="仿宋" w:cs="宋体"/>
                      <w:b/>
                      <w:bCs/>
                      <w:color w:val="000000"/>
                      <w:kern w:val="0"/>
                      <w:sz w:val="18"/>
                      <w:szCs w:val="18"/>
                      <w:highlight w:val="none"/>
                      <w:lang w:val="en-US" w:eastAsia="zh-CN"/>
                    </w:rPr>
                    <w:t>服务要求</w:t>
                  </w:r>
                </w:p>
              </w:tc>
              <w:tc>
                <w:tcPr>
                  <w:tcW w:w="48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highlight w:val="none"/>
                    </w:rPr>
                  </w:pPr>
                  <w:r>
                    <w:rPr>
                      <w:rFonts w:hint="eastAsia" w:ascii="仿宋" w:hAnsi="仿宋" w:eastAsia="仿宋" w:cs="宋体"/>
                      <w:b/>
                      <w:bCs/>
                      <w:color w:val="000000"/>
                      <w:kern w:val="0"/>
                      <w:sz w:val="18"/>
                      <w:szCs w:val="18"/>
                      <w:highlight w:val="none"/>
                    </w:rPr>
                    <w:t>数量</w:t>
                  </w:r>
                </w:p>
              </w:tc>
              <w:tc>
                <w:tcPr>
                  <w:tcW w:w="67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 w:val="18"/>
                      <w:szCs w:val="18"/>
                      <w:highlight w:val="none"/>
                    </w:rPr>
                  </w:pPr>
                  <w:r>
                    <w:rPr>
                      <w:rFonts w:hint="eastAsia" w:ascii="仿宋" w:hAnsi="仿宋" w:eastAsia="仿宋" w:cs="宋体"/>
                      <w:b/>
                      <w:bCs/>
                      <w:color w:val="000000"/>
                      <w:kern w:val="0"/>
                      <w:sz w:val="18"/>
                      <w:szCs w:val="18"/>
                      <w:highlight w:val="none"/>
                    </w:rPr>
                    <w:t>单位</w:t>
                  </w:r>
                </w:p>
              </w:tc>
              <w:tc>
                <w:tcPr>
                  <w:tcW w:w="1032"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仿宋" w:hAnsi="仿宋" w:eastAsia="仿宋" w:cs="宋体"/>
                      <w:b/>
                      <w:bCs/>
                      <w:color w:val="000000"/>
                      <w:kern w:val="0"/>
                      <w:sz w:val="18"/>
                      <w:szCs w:val="18"/>
                      <w:highlight w:val="none"/>
                      <w:lang w:val="en-US" w:eastAsia="zh-CN"/>
                    </w:rPr>
                  </w:pPr>
                  <w:r>
                    <w:rPr>
                      <w:rFonts w:hint="eastAsia" w:ascii="仿宋" w:hAnsi="仿宋" w:eastAsia="仿宋" w:cs="宋体"/>
                      <w:b/>
                      <w:bCs/>
                      <w:color w:val="000000"/>
                      <w:kern w:val="0"/>
                      <w:sz w:val="18"/>
                      <w:szCs w:val="18"/>
                      <w:highlight w:val="none"/>
                      <w:lang w:val="en-US" w:eastAsia="zh-CN"/>
                    </w:rPr>
                    <w:t>预算单价（元/年）</w:t>
                  </w:r>
                </w:p>
              </w:tc>
            </w:tr>
            <w:tr>
              <w:tblPrEx>
                <w:tblCellMar>
                  <w:top w:w="0" w:type="dxa"/>
                  <w:left w:w="108" w:type="dxa"/>
                  <w:bottom w:w="0" w:type="dxa"/>
                  <w:right w:w="108" w:type="dxa"/>
                </w:tblCellMar>
              </w:tblPrEx>
              <w:trPr>
                <w:trHeight w:val="1118" w:hRule="atLeast"/>
              </w:trPr>
              <w:tc>
                <w:tcPr>
                  <w:tcW w:w="405" w:type="pct"/>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FF0000"/>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服务系统</w:t>
                  </w:r>
                </w:p>
              </w:tc>
              <w:tc>
                <w:tcPr>
                  <w:tcW w:w="499" w:type="pct"/>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运营管理</w:t>
                  </w:r>
                </w:p>
              </w:tc>
              <w:tc>
                <w:tcPr>
                  <w:tcW w:w="524"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color w:val="000000"/>
                      <w:kern w:val="0"/>
                      <w:sz w:val="18"/>
                      <w:szCs w:val="18"/>
                      <w:highlight w:val="none"/>
                      <w:lang w:val="en-US" w:eastAsia="zh-CN"/>
                    </w:rPr>
                  </w:pPr>
                  <w:r>
                    <w:rPr>
                      <w:rFonts w:hint="eastAsia" w:ascii="宋体" w:hAnsi="宋体" w:eastAsia="宋体" w:cs="宋体"/>
                      <w:color w:val="000000"/>
                      <w:kern w:val="0"/>
                      <w:sz w:val="18"/>
                      <w:szCs w:val="18"/>
                      <w:highlight w:val="none"/>
                      <w:lang w:val="en-US" w:eastAsia="zh-CN"/>
                    </w:rPr>
                    <w:t>医护服务助手</w:t>
                  </w:r>
                </w:p>
              </w:tc>
              <w:tc>
                <w:tcPr>
                  <w:tcW w:w="1374"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hint="eastAsia" w:ascii="宋体" w:hAnsi="宋体" w:eastAsia="宋体" w:cs="宋体"/>
                      <w:color w:val="000000"/>
                      <w:kern w:val="0"/>
                      <w:sz w:val="18"/>
                      <w:szCs w:val="18"/>
                      <w:highlight w:val="none"/>
                      <w:lang w:val="en-US" w:eastAsia="zh-CN"/>
                    </w:rPr>
                  </w:pPr>
                  <w:r>
                    <w:rPr>
                      <w:rFonts w:hint="eastAsia" w:ascii="宋体" w:hAnsi="宋体" w:eastAsia="宋体" w:cs="宋体"/>
                      <w:color w:val="000000"/>
                      <w:kern w:val="0"/>
                      <w:sz w:val="18"/>
                      <w:szCs w:val="18"/>
                      <w:highlight w:val="none"/>
                      <w:lang w:val="en-US" w:eastAsia="zh-CN"/>
                    </w:rPr>
                    <w:t>通过手机辅助现场护士完成预约、签到、补贴发放、志愿者签到、留言管理、消息提醒等服务</w:t>
                  </w:r>
                </w:p>
              </w:tc>
              <w:tc>
                <w:tcPr>
                  <w:tcW w:w="483" w:type="pc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highlight w:val="none"/>
                      <w:lang w:val="en-US" w:eastAsia="zh-CN"/>
                    </w:rPr>
                  </w:pPr>
                  <w:r>
                    <w:rPr>
                      <w:rFonts w:hint="eastAsia" w:ascii="宋体" w:hAnsi="宋体" w:eastAsia="宋体" w:cs="宋体"/>
                      <w:color w:val="000000"/>
                      <w:kern w:val="0"/>
                      <w:sz w:val="18"/>
                      <w:szCs w:val="18"/>
                      <w:highlight w:val="none"/>
                      <w:lang w:val="en-US" w:eastAsia="zh-CN"/>
                    </w:rPr>
                    <w:t>1</w:t>
                  </w:r>
                </w:p>
              </w:tc>
              <w:tc>
                <w:tcPr>
                  <w:tcW w:w="679" w:type="pc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highlight w:val="none"/>
                      <w:lang w:val="en-US" w:eastAsia="zh-CN"/>
                    </w:rPr>
                  </w:pPr>
                  <w:r>
                    <w:rPr>
                      <w:rFonts w:hint="eastAsia" w:ascii="宋体" w:hAnsi="宋体" w:eastAsia="宋体" w:cs="宋体"/>
                      <w:kern w:val="0"/>
                      <w:sz w:val="18"/>
                      <w:szCs w:val="18"/>
                      <w:highlight w:val="none"/>
                    </w:rPr>
                    <w:t>套/年</w:t>
                  </w:r>
                </w:p>
              </w:tc>
              <w:tc>
                <w:tcPr>
                  <w:tcW w:w="1032" w:type="pc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宋体" w:hAnsi="宋体" w:eastAsia="宋体" w:cs="宋体"/>
                      <w:color w:val="000000"/>
                      <w:kern w:val="0"/>
                      <w:sz w:val="18"/>
                      <w:szCs w:val="18"/>
                      <w:highlight w:val="none"/>
                    </w:rPr>
                  </w:pPr>
                  <w:r>
                    <w:rPr>
                      <w:rFonts w:hint="eastAsia" w:ascii="宋体" w:hAnsi="宋体" w:eastAsia="宋体" w:cs="宋体"/>
                      <w:color w:val="000000"/>
                      <w:kern w:val="0"/>
                      <w:sz w:val="18"/>
                      <w:szCs w:val="18"/>
                      <w:highlight w:val="none"/>
                      <w:lang w:val="en-US" w:eastAsia="zh-CN"/>
                    </w:rPr>
                    <w:t>30000</w:t>
                  </w:r>
                </w:p>
              </w:tc>
            </w:tr>
            <w:tr>
              <w:tblPrEx>
                <w:tblCellMar>
                  <w:top w:w="0" w:type="dxa"/>
                  <w:left w:w="108" w:type="dxa"/>
                  <w:bottom w:w="0" w:type="dxa"/>
                  <w:right w:w="108" w:type="dxa"/>
                </w:tblCellMar>
              </w:tblPrEx>
              <w:trPr>
                <w:trHeight w:val="903" w:hRule="atLeast"/>
              </w:trPr>
              <w:tc>
                <w:tcPr>
                  <w:tcW w:w="40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FF0000"/>
                      <w:kern w:val="0"/>
                      <w:sz w:val="20"/>
                      <w:szCs w:val="20"/>
                      <w:highlight w:val="none"/>
                    </w:rPr>
                  </w:pPr>
                </w:p>
              </w:tc>
              <w:tc>
                <w:tcPr>
                  <w:tcW w:w="499" w:type="pct"/>
                  <w:vMerge w:val="continue"/>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18"/>
                      <w:szCs w:val="18"/>
                      <w:highlight w:val="none"/>
                    </w:rPr>
                  </w:pPr>
                </w:p>
              </w:tc>
              <w:tc>
                <w:tcPr>
                  <w:tcW w:w="524"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志愿者管理系统</w:t>
                  </w:r>
                </w:p>
              </w:tc>
              <w:tc>
                <w:tcPr>
                  <w:tcW w:w="1374"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志愿者管理包含：申请、考试、评价、工时管理等全流程志愿者服务。</w:t>
                  </w:r>
                </w:p>
              </w:tc>
              <w:tc>
                <w:tcPr>
                  <w:tcW w:w="483"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1</w:t>
                  </w:r>
                </w:p>
              </w:tc>
              <w:tc>
                <w:tcPr>
                  <w:tcW w:w="679"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rPr>
                    <w:t>套/年</w:t>
                  </w:r>
                </w:p>
              </w:tc>
              <w:tc>
                <w:tcPr>
                  <w:tcW w:w="1032"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kern w:val="0"/>
                      <w:sz w:val="18"/>
                      <w:szCs w:val="18"/>
                      <w:highlight w:val="none"/>
                    </w:rPr>
                  </w:pPr>
                  <w:r>
                    <w:rPr>
                      <w:rFonts w:hint="eastAsia" w:ascii="宋体" w:hAnsi="宋体" w:eastAsia="宋体" w:cs="宋体"/>
                      <w:kern w:val="0"/>
                      <w:sz w:val="18"/>
                      <w:szCs w:val="18"/>
                      <w:highlight w:val="none"/>
                      <w:lang w:val="en-US" w:eastAsia="zh-CN"/>
                    </w:rPr>
                    <w:t>5</w:t>
                  </w:r>
                  <w:r>
                    <w:rPr>
                      <w:rFonts w:hint="eastAsia" w:ascii="宋体" w:hAnsi="宋体" w:eastAsia="宋体" w:cs="宋体"/>
                      <w:kern w:val="0"/>
                      <w:sz w:val="18"/>
                      <w:szCs w:val="18"/>
                      <w:highlight w:val="none"/>
                    </w:rPr>
                    <w:t>0000</w:t>
                  </w:r>
                </w:p>
              </w:tc>
            </w:tr>
          </w:tbl>
          <w:p>
            <w:pPr>
              <w:pStyle w:val="2"/>
              <w:numPr>
                <w:ilvl w:val="0"/>
                <w:numId w:val="0"/>
              </w:numPr>
              <w:rPr>
                <w:rFonts w:hint="eastAsia"/>
                <w:highlight w:val="none"/>
                <w:lang w:val="en-US" w:eastAsia="zh-CN"/>
              </w:rPr>
            </w:pPr>
          </w:p>
          <w:p>
            <w:pPr>
              <w:pStyle w:val="2"/>
              <w:numPr>
                <w:ilvl w:val="0"/>
                <w:numId w:val="0"/>
              </w:numPr>
              <w:rPr>
                <w:rFonts w:hint="eastAsia"/>
                <w:highlight w:val="none"/>
                <w:lang w:val="en-US" w:eastAsia="zh-CN"/>
              </w:rPr>
            </w:pPr>
            <w:r>
              <w:rPr>
                <w:rFonts w:hint="eastAsia"/>
                <w:highlight w:val="none"/>
                <w:lang w:val="en-US" w:eastAsia="zh-CN"/>
              </w:rPr>
              <w:t>三、服务要求：</w:t>
            </w:r>
          </w:p>
          <w:p>
            <w:pPr>
              <w:pStyle w:val="2"/>
              <w:numPr>
                <w:ilvl w:val="0"/>
                <w:numId w:val="0"/>
              </w:numPr>
              <w:rPr>
                <w:rFonts w:hint="eastAsia"/>
                <w:highlight w:val="none"/>
                <w:lang w:val="en-US" w:eastAsia="zh-CN"/>
              </w:rPr>
            </w:pPr>
            <w:r>
              <w:rPr>
                <w:rFonts w:hint="eastAsia"/>
                <w:highlight w:val="none"/>
                <w:lang w:val="en-US" w:eastAsia="zh-CN"/>
              </w:rPr>
              <w:t>▲1、服务平台在与采购人业务系统之间的数据接口应保证在前置机上完成，且保证数据接口访问的安全性(如采取私有签发证书SSL方式)，对数据接口的访问进行记录(记录数据保存在前置机上)，并具备访问IP白名单策略以确保接口安全。</w:t>
            </w:r>
          </w:p>
          <w:p>
            <w:pPr>
              <w:pStyle w:val="2"/>
              <w:numPr>
                <w:ilvl w:val="0"/>
                <w:numId w:val="0"/>
              </w:numPr>
              <w:rPr>
                <w:rFonts w:hint="eastAsia"/>
                <w:highlight w:val="none"/>
                <w:lang w:val="en-US" w:eastAsia="zh-CN"/>
              </w:rPr>
            </w:pPr>
            <w:r>
              <w:rPr>
                <w:rFonts w:hint="eastAsia"/>
                <w:highlight w:val="none"/>
                <w:lang w:val="en-US" w:eastAsia="zh-CN"/>
              </w:rPr>
              <w:t>▲2、服务平台数据需每天进行全量备份，确保数据安全，且需有异地备份。</w:t>
            </w:r>
          </w:p>
          <w:p>
            <w:pPr>
              <w:pStyle w:val="2"/>
              <w:numPr>
                <w:ilvl w:val="0"/>
                <w:numId w:val="0"/>
              </w:numPr>
              <w:rPr>
                <w:rFonts w:hint="eastAsia"/>
                <w:highlight w:val="none"/>
                <w:lang w:val="en-US" w:eastAsia="zh-CN"/>
              </w:rPr>
            </w:pPr>
            <w:r>
              <w:rPr>
                <w:rFonts w:hint="eastAsia"/>
                <w:highlight w:val="none"/>
                <w:lang w:val="en-US" w:eastAsia="zh-CN"/>
              </w:rPr>
              <w:t>▲3、业务可用性及扩展性保障：服务平台建设需采取主流集群化技术(如K8s)，可实现弹性伸缩和动态调配、实现负载均衡，避免单一服务的故障。</w:t>
            </w:r>
          </w:p>
          <w:p>
            <w:pPr>
              <w:pStyle w:val="2"/>
              <w:numPr>
                <w:ilvl w:val="0"/>
                <w:numId w:val="0"/>
              </w:numPr>
              <w:rPr>
                <w:rFonts w:hint="eastAsia"/>
                <w:highlight w:val="none"/>
                <w:lang w:val="en-US" w:eastAsia="zh-CN"/>
              </w:rPr>
            </w:pPr>
            <w:r>
              <w:rPr>
                <w:rFonts w:hint="eastAsia"/>
                <w:highlight w:val="none"/>
                <w:lang w:val="en-US" w:eastAsia="zh-CN"/>
              </w:rPr>
              <w:t>4、服务平台可以在不停止对外服务的前提下完成应用的更新，实现系统平滑升级。</w:t>
            </w:r>
          </w:p>
          <w:p>
            <w:pPr>
              <w:pStyle w:val="2"/>
              <w:numPr>
                <w:ilvl w:val="0"/>
                <w:numId w:val="0"/>
              </w:numPr>
              <w:rPr>
                <w:rFonts w:hint="eastAsia"/>
                <w:highlight w:val="none"/>
                <w:lang w:val="en-US" w:eastAsia="zh-CN"/>
              </w:rPr>
            </w:pPr>
            <w:r>
              <w:rPr>
                <w:rFonts w:hint="eastAsia"/>
                <w:highlight w:val="none"/>
                <w:lang w:val="en-US" w:eastAsia="zh-CN"/>
              </w:rPr>
              <w:t>▲5、服务平台需使用容器虚拟化技术(如docker)，快速实现应用交付和部署。</w:t>
            </w:r>
          </w:p>
          <w:p>
            <w:pPr>
              <w:pStyle w:val="2"/>
              <w:numPr>
                <w:ilvl w:val="0"/>
                <w:numId w:val="0"/>
              </w:numPr>
              <w:rPr>
                <w:rFonts w:hint="eastAsia"/>
                <w:highlight w:val="none"/>
                <w:lang w:val="en-US" w:eastAsia="zh-CN"/>
              </w:rPr>
            </w:pPr>
            <w:r>
              <w:rPr>
                <w:rFonts w:hint="eastAsia"/>
                <w:highlight w:val="none"/>
                <w:lang w:val="en-US" w:eastAsia="zh-CN"/>
              </w:rPr>
              <w:t>四、系统建设要求：</w:t>
            </w:r>
          </w:p>
          <w:p>
            <w:pPr>
              <w:pStyle w:val="2"/>
              <w:numPr>
                <w:ilvl w:val="0"/>
                <w:numId w:val="0"/>
              </w:numPr>
              <w:rPr>
                <w:rFonts w:hint="eastAsia"/>
                <w:highlight w:val="none"/>
                <w:lang w:val="en-US" w:eastAsia="zh-CN"/>
              </w:rPr>
            </w:pPr>
            <w:r>
              <w:rPr>
                <w:rFonts w:hint="eastAsia"/>
                <w:highlight w:val="none"/>
                <w:lang w:val="en-US" w:eastAsia="zh-CN"/>
              </w:rPr>
              <w:t>▲1、采护助手</w:t>
            </w:r>
          </w:p>
          <w:p>
            <w:pPr>
              <w:pStyle w:val="2"/>
              <w:numPr>
                <w:ilvl w:val="0"/>
                <w:numId w:val="0"/>
              </w:numPr>
              <w:rPr>
                <w:rFonts w:hint="eastAsia" w:ascii="宋体" w:hAnsi="宋体" w:eastAsia="宋体" w:cs="宋体"/>
                <w:highlight w:val="none"/>
                <w:lang w:val="en-US" w:eastAsia="zh-CN"/>
              </w:rPr>
            </w:pPr>
            <w:r>
              <w:rPr>
                <w:rFonts w:hint="eastAsia" w:ascii="宋体" w:hAnsi="宋体" w:eastAsia="宋体" w:cs="宋体"/>
                <w:highlight w:val="none"/>
                <w:lang w:val="en-US" w:eastAsia="zh-CN"/>
              </w:rPr>
              <w:t>(1)提供预约看板功能，支持工作人员通过手机接收献血者的实时预约消息提醒，并通过预约看板了解每日每个时间段的预约名单，实现每日预约资源的有效管理；</w:t>
            </w:r>
          </w:p>
          <w:p>
            <w:pPr>
              <w:pStyle w:val="2"/>
              <w:numPr>
                <w:ilvl w:val="0"/>
                <w:numId w:val="0"/>
              </w:numPr>
              <w:rPr>
                <w:rFonts w:hint="eastAsia" w:ascii="宋体" w:hAnsi="宋体" w:eastAsia="宋体" w:cs="宋体"/>
                <w:highlight w:val="none"/>
                <w:lang w:val="en-US" w:eastAsia="zh-CN"/>
              </w:rPr>
            </w:pPr>
            <w:r>
              <w:rPr>
                <w:rFonts w:hint="eastAsia" w:ascii="宋体" w:hAnsi="宋体" w:eastAsia="宋体" w:cs="宋体"/>
                <w:highlight w:val="none"/>
                <w:lang w:val="en-US" w:eastAsia="zh-CN"/>
              </w:rPr>
              <w:t>(2)提供志愿工时二维码功能，支持工作人员通过手机为志愿者提供工时打卡服务，实现志愿者工时管理快捷打卡，减少因工时记录错误带来的纠纷；</w:t>
            </w:r>
          </w:p>
          <w:p>
            <w:pPr>
              <w:pStyle w:val="2"/>
              <w:numPr>
                <w:ilvl w:val="0"/>
                <w:numId w:val="0"/>
              </w:numPr>
              <w:rPr>
                <w:rFonts w:hint="eastAsia" w:ascii="宋体" w:hAnsi="宋体" w:eastAsia="宋体" w:cs="宋体"/>
                <w:highlight w:val="none"/>
                <w:lang w:val="en-US" w:eastAsia="zh-CN"/>
              </w:rPr>
            </w:pPr>
            <w:r>
              <w:rPr>
                <w:rFonts w:hint="eastAsia" w:ascii="宋体" w:hAnsi="宋体" w:eastAsia="宋体" w:cs="宋体"/>
                <w:highlight w:val="none"/>
                <w:lang w:val="en-US" w:eastAsia="zh-CN"/>
              </w:rPr>
              <w:t>(3)提供补贴发放审核功能，支持工作人员通过手机端发放补贴并审核献血者电子签名，实现补贴发放的实时确认；</w:t>
            </w:r>
          </w:p>
          <w:p>
            <w:pPr>
              <w:pStyle w:val="2"/>
              <w:numPr>
                <w:ilvl w:val="0"/>
                <w:numId w:val="0"/>
              </w:numPr>
              <w:rPr>
                <w:rFonts w:hint="eastAsia" w:ascii="宋体" w:hAnsi="宋体" w:eastAsia="宋体" w:cs="宋体"/>
                <w:highlight w:val="none"/>
                <w:lang w:val="en-US" w:eastAsia="zh-CN"/>
              </w:rPr>
            </w:pPr>
            <w:r>
              <w:rPr>
                <w:rFonts w:hint="eastAsia" w:ascii="宋体" w:hAnsi="宋体" w:eastAsia="宋体" w:cs="宋体"/>
                <w:highlight w:val="none"/>
                <w:lang w:val="en-US" w:eastAsia="zh-CN"/>
              </w:rPr>
              <w:t>(4)提供献血者评价、留言、弹幕、留影照片浏览功能，实现上述献血者反馈内容的精选推送上墙功能；</w:t>
            </w:r>
          </w:p>
          <w:p>
            <w:pPr>
              <w:pStyle w:val="2"/>
              <w:numPr>
                <w:ilvl w:val="0"/>
                <w:numId w:val="0"/>
              </w:numPr>
              <w:rPr>
                <w:rFonts w:hint="eastAsia" w:ascii="宋体" w:hAnsi="宋体" w:eastAsia="宋体" w:cs="宋体"/>
                <w:highlight w:val="none"/>
                <w:lang w:val="en-US" w:eastAsia="zh-CN"/>
              </w:rPr>
            </w:pPr>
            <w:r>
              <w:rPr>
                <w:rFonts w:hint="eastAsia" w:ascii="宋体" w:hAnsi="宋体" w:eastAsia="宋体" w:cs="宋体"/>
                <w:highlight w:val="none"/>
                <w:lang w:val="en-US" w:eastAsia="zh-CN"/>
              </w:rPr>
              <w:t>（5）提供工作人员在不同献血点服务时切换地点的功能，实现不同献血点状态下的功能权限分配，实现献血移动化服务的精细化管理。</w:t>
            </w:r>
          </w:p>
          <w:p>
            <w:pPr>
              <w:pStyle w:val="2"/>
              <w:numPr>
                <w:ilvl w:val="0"/>
                <w:numId w:val="0"/>
              </w:numPr>
              <w:rPr>
                <w:rFonts w:hint="eastAsia"/>
                <w:highlight w:val="none"/>
                <w:lang w:val="en-US" w:eastAsia="zh-CN"/>
              </w:rPr>
            </w:pPr>
            <w:r>
              <w:rPr>
                <w:rFonts w:hint="eastAsia"/>
                <w:highlight w:val="none"/>
                <w:lang w:val="en-US" w:eastAsia="zh-CN"/>
              </w:rPr>
              <w:t>▲2、志愿者管理</w:t>
            </w:r>
          </w:p>
          <w:p>
            <w:pPr>
              <w:pStyle w:val="2"/>
              <w:numPr>
                <w:ilvl w:val="0"/>
                <w:numId w:val="0"/>
              </w:numPr>
              <w:rPr>
                <w:rFonts w:hint="eastAsia"/>
                <w:highlight w:val="none"/>
                <w:lang w:val="en-US" w:eastAsia="zh-CN"/>
              </w:rPr>
            </w:pPr>
            <w:r>
              <w:rPr>
                <w:rFonts w:hint="eastAsia"/>
                <w:highlight w:val="none"/>
                <w:lang w:val="en-US" w:eastAsia="zh-CN"/>
              </w:rPr>
              <w:t>（1）支持志愿者功能在线入队申报，实现志愿者姓名、身份证号、住址、照片等申请资料的在线提交，成为志愿者后可通过后台自动导出纸质档案表格，让志愿者招募管理更加便捷；</w:t>
            </w:r>
          </w:p>
          <w:p>
            <w:pPr>
              <w:pStyle w:val="2"/>
              <w:numPr>
                <w:ilvl w:val="0"/>
                <w:numId w:val="0"/>
              </w:numPr>
              <w:rPr>
                <w:rFonts w:hint="eastAsia"/>
                <w:highlight w:val="none"/>
                <w:lang w:val="en-US" w:eastAsia="zh-CN"/>
              </w:rPr>
            </w:pPr>
            <w:r>
              <w:rPr>
                <w:rFonts w:hint="eastAsia"/>
                <w:highlight w:val="none"/>
                <w:lang w:val="en-US" w:eastAsia="zh-CN"/>
              </w:rPr>
              <w:t>（2）支持志愿者在线学习培训，系统可自定义上传配置培训材料，实现普通用户成为志愿者前的入队须知以及基础无偿献血知识的学习，提升志愿者服务工作的基础认知；</w:t>
            </w:r>
          </w:p>
          <w:p>
            <w:pPr>
              <w:pStyle w:val="2"/>
              <w:numPr>
                <w:ilvl w:val="0"/>
                <w:numId w:val="0"/>
              </w:numPr>
              <w:rPr>
                <w:rFonts w:hint="eastAsia"/>
                <w:highlight w:val="none"/>
                <w:lang w:val="en-US" w:eastAsia="zh-CN"/>
              </w:rPr>
            </w:pPr>
            <w:r>
              <w:rPr>
                <w:rFonts w:hint="eastAsia"/>
                <w:highlight w:val="none"/>
                <w:lang w:val="en-US" w:eastAsia="zh-CN"/>
              </w:rPr>
              <w:t>（3）支持志愿者在线考核功能，系统可实现自定义试题、答案合格分数线配置，实现志愿者在线考试，通过后即可等待审核通过通知，进一步确认志愿者掌握相关核心知识点；</w:t>
            </w:r>
          </w:p>
          <w:p>
            <w:pPr>
              <w:pStyle w:val="2"/>
              <w:numPr>
                <w:ilvl w:val="0"/>
                <w:numId w:val="0"/>
              </w:numPr>
              <w:rPr>
                <w:rFonts w:hint="eastAsia"/>
                <w:highlight w:val="none"/>
                <w:lang w:val="en-US" w:eastAsia="zh-CN"/>
              </w:rPr>
            </w:pPr>
            <w:r>
              <w:rPr>
                <w:rFonts w:hint="eastAsia"/>
                <w:highlight w:val="none"/>
                <w:lang w:val="en-US" w:eastAsia="zh-CN"/>
              </w:rPr>
              <w:t>（4）支持志愿者动态二维码打卡功能，系统可提供现场工作人员手机生成动态服务二维码，志愿者工作服务开始和结束时可扫码打卡自动计算当日工时，降低志愿工时误记、少记的出错概率；</w:t>
            </w:r>
          </w:p>
          <w:p>
            <w:pPr>
              <w:pStyle w:val="2"/>
              <w:numPr>
                <w:ilvl w:val="0"/>
                <w:numId w:val="0"/>
              </w:numPr>
              <w:rPr>
                <w:rFonts w:hint="eastAsia"/>
                <w:highlight w:val="none"/>
                <w:lang w:val="en-US" w:eastAsia="zh-CN"/>
              </w:rPr>
            </w:pPr>
            <w:r>
              <w:rPr>
                <w:rFonts w:hint="eastAsia"/>
                <w:highlight w:val="none"/>
                <w:lang w:val="en-US" w:eastAsia="zh-CN"/>
              </w:rPr>
              <w:t>（5）志愿者完成当日服务工作后，工作人员可为本次志愿服务工作人员进行表现评分，实现志愿队伍整体服务质量的统计和管控。</w:t>
            </w:r>
          </w:p>
          <w:p>
            <w:pPr>
              <w:pStyle w:val="2"/>
              <w:numPr>
                <w:ilvl w:val="0"/>
                <w:numId w:val="0"/>
              </w:numPr>
              <w:rPr>
                <w:rFonts w:hint="eastAsia"/>
                <w:highlight w:val="none"/>
                <w:lang w:val="en-US" w:eastAsia="zh-CN"/>
              </w:rPr>
            </w:pPr>
            <w:r>
              <w:rPr>
                <w:rFonts w:hint="eastAsia"/>
                <w:highlight w:val="none"/>
                <w:lang w:val="en-US" w:eastAsia="zh-CN"/>
              </w:rPr>
              <w:t>▲五、其他要求：</w:t>
            </w:r>
          </w:p>
          <w:p>
            <w:pPr>
              <w:pStyle w:val="2"/>
              <w:numPr>
                <w:ilvl w:val="0"/>
                <w:numId w:val="0"/>
              </w:numPr>
              <w:ind w:firstLine="420" w:firstLineChars="200"/>
              <w:rPr>
                <w:rFonts w:hint="default"/>
                <w:highlight w:val="none"/>
                <w:lang w:val="en-US" w:eastAsia="zh-CN"/>
              </w:rPr>
            </w:pPr>
            <w:r>
              <w:rPr>
                <w:rFonts w:hint="eastAsia" w:ascii="宋体" w:hAnsi="宋体" w:eastAsia="宋体" w:cs="宋体"/>
                <w:color w:val="auto"/>
                <w:sz w:val="21"/>
                <w:szCs w:val="21"/>
                <w:highlight w:val="none"/>
              </w:rPr>
              <w:t>按采购</w:t>
            </w:r>
            <w:r>
              <w:rPr>
                <w:rFonts w:hint="eastAsia" w:ascii="宋体" w:hAnsi="宋体" w:eastAsia="宋体" w:cs="宋体"/>
                <w:color w:val="auto"/>
                <w:sz w:val="21"/>
                <w:szCs w:val="21"/>
                <w:highlight w:val="none"/>
                <w:lang w:val="en-US" w:eastAsia="zh-CN"/>
              </w:rPr>
              <w:t>人要求</w:t>
            </w:r>
            <w:r>
              <w:rPr>
                <w:rFonts w:hint="eastAsia" w:ascii="宋体" w:hAnsi="宋体" w:eastAsia="宋体" w:cs="宋体"/>
                <w:color w:val="auto"/>
                <w:sz w:val="21"/>
                <w:szCs w:val="21"/>
                <w:highlight w:val="none"/>
              </w:rPr>
              <w:t>提供服务相关数据及材料</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每季度按时提交服务报告及总结材料</w:t>
            </w:r>
            <w:r>
              <w:rPr>
                <w:rFonts w:hint="eastAsia" w:ascii="宋体" w:hAnsi="宋体" w:eastAsia="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pPr>
              <w:spacing w:line="360" w:lineRule="auto"/>
              <w:rPr>
                <w:rFonts w:hint="eastAsia" w:ascii="宋体" w:hAnsi="宋体" w:eastAsia="宋体" w:cs="宋体"/>
                <w:szCs w:val="21"/>
                <w:highlight w:val="none"/>
              </w:rPr>
            </w:pPr>
            <w:r>
              <w:rPr>
                <w:rFonts w:hint="eastAsia" w:ascii="宋体" w:hAnsi="宋体" w:eastAsia="宋体" w:cs="宋体"/>
                <w:szCs w:val="21"/>
                <w:highlight w:val="none"/>
                <w:lang w:val="en-US" w:eastAsia="zh-CN"/>
              </w:rPr>
              <w:t>一、</w:t>
            </w:r>
            <w:r>
              <w:rPr>
                <w:rFonts w:hint="eastAsia" w:ascii="宋体" w:hAnsi="宋体" w:eastAsia="宋体" w:cs="宋体"/>
                <w:szCs w:val="21"/>
                <w:highlight w:val="none"/>
              </w:rPr>
              <w:t>合同签订期:自采购结果公示结束后7个工作日内。</w:t>
            </w:r>
          </w:p>
          <w:p>
            <w:pPr>
              <w:spacing w:line="360" w:lineRule="auto"/>
              <w:rPr>
                <w:rFonts w:hint="eastAsia" w:ascii="宋体" w:hAnsi="宋体" w:eastAsia="宋体" w:cs="宋体"/>
                <w:szCs w:val="21"/>
                <w:highlight w:val="none"/>
              </w:rPr>
            </w:pPr>
            <w:r>
              <w:rPr>
                <w:rFonts w:hint="eastAsia" w:ascii="宋体" w:hAnsi="宋体" w:eastAsia="宋体" w:cs="宋体"/>
                <w:szCs w:val="21"/>
                <w:highlight w:val="none"/>
                <w:lang w:val="en-US" w:eastAsia="zh-CN"/>
              </w:rPr>
              <w:t>二、</w:t>
            </w:r>
            <w:r>
              <w:rPr>
                <w:rFonts w:hint="eastAsia" w:ascii="宋体" w:hAnsi="宋体" w:eastAsia="宋体" w:cs="宋体"/>
                <w:szCs w:val="21"/>
                <w:highlight w:val="none"/>
              </w:rPr>
              <w:t>合同期限:</w:t>
            </w:r>
            <w:r>
              <w:rPr>
                <w:rFonts w:hint="eastAsia" w:ascii="宋体" w:hAnsi="宋体" w:eastAsia="宋体" w:cs="宋体"/>
                <w:szCs w:val="21"/>
                <w:highlight w:val="none"/>
                <w:lang w:val="en-US" w:eastAsia="zh-CN"/>
              </w:rPr>
              <w:t>合同签订之日起</w:t>
            </w:r>
            <w:r>
              <w:rPr>
                <w:rFonts w:hint="eastAsia" w:ascii="宋体" w:hAnsi="宋体" w:eastAsia="宋体" w:cs="宋体"/>
                <w:szCs w:val="21"/>
                <w:highlight w:val="none"/>
              </w:rPr>
              <w:t>1年。</w:t>
            </w:r>
          </w:p>
          <w:p>
            <w:pPr>
              <w:spacing w:line="360" w:lineRule="auto"/>
              <w:rPr>
                <w:rFonts w:hint="eastAsia" w:ascii="宋体" w:hAnsi="宋体" w:eastAsia="宋体" w:cs="宋体"/>
                <w:szCs w:val="21"/>
                <w:highlight w:val="none"/>
              </w:rPr>
            </w:pPr>
            <w:r>
              <w:rPr>
                <w:rFonts w:hint="eastAsia" w:ascii="宋体" w:hAnsi="宋体" w:eastAsia="宋体" w:cs="宋体"/>
                <w:szCs w:val="21"/>
                <w:highlight w:val="none"/>
                <w:lang w:val="en-US" w:eastAsia="zh-CN"/>
              </w:rPr>
              <w:t>三、</w:t>
            </w:r>
            <w:r>
              <w:rPr>
                <w:rFonts w:hint="eastAsia" w:ascii="宋体" w:hAnsi="宋体" w:eastAsia="宋体" w:cs="宋体"/>
                <w:szCs w:val="21"/>
                <w:highlight w:val="none"/>
              </w:rPr>
              <w:t>项目实施地点:南宁中心血站指定地点。</w:t>
            </w:r>
          </w:p>
          <w:p>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四、售后服务要求:</w:t>
            </w:r>
          </w:p>
          <w:p>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rPr>
              <w:t>处理问题响应时间必须提供 7</w:t>
            </w:r>
            <w:r>
              <w:rPr>
                <w:rFonts w:hint="eastAsia" w:ascii="宋体" w:hAnsi="宋体" w:eastAsia="宋体" w:cs="宋体"/>
                <w:szCs w:val="21"/>
                <w:highlight w:val="none"/>
                <w:lang w:val="en-US" w:eastAsia="zh-CN"/>
              </w:rPr>
              <w:t>*</w:t>
            </w:r>
            <w:r>
              <w:rPr>
                <w:rFonts w:hint="eastAsia" w:ascii="宋体" w:hAnsi="宋体" w:eastAsia="宋体" w:cs="宋体"/>
                <w:szCs w:val="21"/>
                <w:highlight w:val="none"/>
              </w:rPr>
              <w:t>24 小时费电话技术支持(开通24 小时电话服务热线)</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并</w:t>
            </w:r>
            <w:r>
              <w:rPr>
                <w:rFonts w:hint="eastAsia" w:ascii="宋体" w:hAnsi="宋体" w:eastAsia="宋体" w:cs="宋体"/>
                <w:szCs w:val="21"/>
                <w:highlight w:val="none"/>
              </w:rPr>
              <w:t>包括邮件、远程维护、现场服务等方式。并保证1个小时内对</w:t>
            </w:r>
            <w:r>
              <w:rPr>
                <w:rFonts w:hint="eastAsia" w:ascii="宋体" w:hAnsi="宋体" w:eastAsia="宋体" w:cs="宋体"/>
                <w:szCs w:val="21"/>
                <w:highlight w:val="none"/>
                <w:lang w:val="en-US" w:eastAsia="zh-CN"/>
              </w:rPr>
              <w:t>采购人</w:t>
            </w:r>
            <w:r>
              <w:rPr>
                <w:rFonts w:hint="eastAsia" w:ascii="宋体" w:hAnsi="宋体" w:eastAsia="宋体" w:cs="宋体"/>
                <w:szCs w:val="21"/>
                <w:highlight w:val="none"/>
              </w:rPr>
              <w:t>的维护请求予以响应</w:t>
            </w:r>
            <w:r>
              <w:rPr>
                <w:rFonts w:hint="eastAsia" w:ascii="宋体" w:hAnsi="宋体" w:eastAsia="宋体" w:cs="宋体"/>
                <w:szCs w:val="21"/>
                <w:highlight w:val="none"/>
                <w:lang w:eastAsia="zh-CN"/>
              </w:rPr>
              <w:t>，</w:t>
            </w:r>
            <w:r>
              <w:rPr>
                <w:rFonts w:hint="eastAsia" w:ascii="宋体" w:hAnsi="宋体" w:eastAsia="宋体" w:cs="宋体"/>
                <w:szCs w:val="21"/>
                <w:highlight w:val="none"/>
              </w:rPr>
              <w:t>若远程维护无法解决，12 小时内到达现场，24小时内恢复系统正常运行</w:t>
            </w:r>
            <w:r>
              <w:rPr>
                <w:rFonts w:hint="eastAsia" w:ascii="宋体" w:hAnsi="宋体" w:eastAsia="宋体" w:cs="宋体"/>
                <w:szCs w:val="21"/>
                <w:highlight w:val="none"/>
                <w:lang w:eastAsia="zh-CN"/>
              </w:rPr>
              <w:t>。</w:t>
            </w:r>
          </w:p>
          <w:p>
            <w:pPr>
              <w:spacing w:line="360" w:lineRule="auto"/>
              <w:rPr>
                <w:rFonts w:hint="eastAsia" w:ascii="宋体" w:hAnsi="宋体" w:eastAsia="宋体" w:cs="宋体"/>
                <w:szCs w:val="21"/>
                <w:highlight w:val="none"/>
              </w:rPr>
            </w:pPr>
            <w:r>
              <w:rPr>
                <w:rFonts w:hint="eastAsia"/>
                <w:highlight w:val="none"/>
                <w:lang w:val="en-US" w:eastAsia="zh-CN"/>
              </w:rPr>
              <w:t>▲</w:t>
            </w:r>
            <w:r>
              <w:rPr>
                <w:rFonts w:hint="eastAsia" w:ascii="宋体" w:hAnsi="宋体" w:eastAsia="宋体" w:cs="宋体"/>
                <w:szCs w:val="21"/>
                <w:highlight w:val="none"/>
                <w:lang w:val="en-US" w:eastAsia="zh-CN"/>
              </w:rPr>
              <w:t>五、</w:t>
            </w:r>
            <w:r>
              <w:rPr>
                <w:rFonts w:hint="eastAsia" w:ascii="宋体" w:hAnsi="宋体" w:eastAsia="宋体" w:cs="宋体"/>
                <w:szCs w:val="21"/>
                <w:highlight w:val="none"/>
              </w:rPr>
              <w:t>其他要求:</w:t>
            </w:r>
          </w:p>
          <w:p>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1、本项目报价为总价包干，报价包含但不限于以下内容：</w:t>
            </w:r>
          </w:p>
          <w:p>
            <w:pPr>
              <w:numPr>
                <w:ilvl w:val="-1"/>
                <w:numId w:val="0"/>
              </w:num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（1）服务的价格；</w:t>
            </w:r>
          </w:p>
          <w:p>
            <w:pPr>
              <w:numPr>
                <w:ilvl w:val="-1"/>
                <w:numId w:val="0"/>
              </w:num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（2）必要的保险费用和各项税金；</w:t>
            </w:r>
          </w:p>
          <w:p>
            <w:pPr>
              <w:numPr>
                <w:ilvl w:val="-1"/>
                <w:numId w:val="0"/>
              </w:num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（3）实施和完成工作所需的劳务费、技术服务费、交通、通讯、办公场地、管理费、税费和利润等费用和政策性文件规定及合同包含的所有风险、责任等各项（所有）费用。</w:t>
            </w:r>
          </w:p>
          <w:p>
            <w:pPr>
              <w:numPr>
                <w:ilvl w:val="-1"/>
                <w:numId w:val="0"/>
              </w:num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rPr>
              <w:t>2、</w:t>
            </w:r>
            <w:r>
              <w:rPr>
                <w:rFonts w:hint="eastAsia" w:ascii="宋体" w:hAnsi="宋体" w:cs="宋体"/>
                <w:color w:val="auto"/>
                <w:szCs w:val="21"/>
                <w:highlight w:val="none"/>
              </w:rPr>
              <w:t>付款方式</w:t>
            </w:r>
            <w:r>
              <w:rPr>
                <w:rFonts w:hint="eastAsia" w:ascii="宋体" w:hAnsi="宋体" w:cs="宋体"/>
                <w:color w:val="auto"/>
                <w:szCs w:val="21"/>
                <w:highlight w:val="none"/>
                <w:lang w:eastAsia="zh-CN"/>
              </w:rPr>
              <w:t>：</w:t>
            </w:r>
            <w:r>
              <w:rPr>
                <w:rFonts w:hint="eastAsia" w:ascii="宋体" w:hAnsi="宋体" w:eastAsia="宋体" w:cs="宋体"/>
                <w:szCs w:val="21"/>
                <w:highlight w:val="none"/>
              </w:rPr>
              <w:t>签订合同之日起3 个月内支付 30%合同款，服务履约半年并采购人确认后支付50%合同款，合同履约结束并通过采购人验收后支付剩余20%合同款（付款前成交供应商须提供等额合规的增值税普通发票）</w:t>
            </w:r>
          </w:p>
          <w:p>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3、成交供应商未按采购公告中《采购项目需求一览表》中的内容提供服务或服务未达标准的采购人可解除本合同。</w:t>
            </w:r>
          </w:p>
          <w:p>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六、验收条件及标准:</w:t>
            </w:r>
          </w:p>
          <w:p>
            <w:pPr>
              <w:pStyle w:val="2"/>
              <w:spacing w:line="360" w:lineRule="auto"/>
              <w:rPr>
                <w:rFonts w:hint="eastAsia" w:ascii="宋体" w:hAnsi="宋体" w:eastAsia="宋体" w:cs="宋体"/>
                <w:szCs w:val="21"/>
                <w:highlight w:val="none"/>
              </w:rPr>
            </w:pPr>
            <w:r>
              <w:rPr>
                <w:rFonts w:hint="eastAsia" w:ascii="宋体" w:hAnsi="宋体" w:eastAsia="宋体" w:cs="宋体"/>
                <w:szCs w:val="21"/>
                <w:highlight w:val="none"/>
              </w:rPr>
              <w:t>1、本项目完成后成交供应商可向采购人提出验收申请。</w:t>
            </w:r>
          </w:p>
          <w:p>
            <w:pPr>
              <w:pStyle w:val="2"/>
              <w:spacing w:line="360" w:lineRule="auto"/>
              <w:rPr>
                <w:rFonts w:hint="eastAsia" w:ascii="宋体" w:hAnsi="宋体" w:eastAsia="宋体" w:cs="宋体"/>
                <w:szCs w:val="21"/>
                <w:highlight w:val="none"/>
              </w:rPr>
            </w:pPr>
            <w:r>
              <w:rPr>
                <w:rFonts w:hint="eastAsia" w:ascii="宋体" w:hAnsi="宋体" w:eastAsia="宋体" w:cs="宋体"/>
                <w:szCs w:val="21"/>
                <w:highlight w:val="none"/>
              </w:rPr>
              <w:t>2、采购人将组织验收小组对成交供应商的服务情况进行验收，采购人在收到验收申请后依据采购文件、成交供应商的响应文件等材料组织验收，验收完毕后作出书面验收报告。</w:t>
            </w:r>
          </w:p>
          <w:p>
            <w:pPr>
              <w:pStyle w:val="2"/>
              <w:spacing w:line="360" w:lineRule="auto"/>
              <w:rPr>
                <w:highlight w:val="none"/>
              </w:rPr>
            </w:pPr>
            <w:r>
              <w:rPr>
                <w:rFonts w:hint="eastAsia" w:ascii="宋体" w:hAnsi="宋体" w:eastAsia="宋体" w:cs="宋体"/>
                <w:szCs w:val="21"/>
                <w:highlight w:val="none"/>
              </w:rPr>
              <w:t>3、首次验收不合格的，成交供应商在收到通知之日起5个工作日内整改后重新申请验收；若重新验收不合格的，则将被视为违约，同时采购人不再支付剩余20%合同款。</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B8607A"/>
    <w:multiLevelType w:val="singleLevel"/>
    <w:tmpl w:val="B8B8607A"/>
    <w:lvl w:ilvl="0" w:tentative="0">
      <w:start w:val="2"/>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5F3A4579"/>
    <w:rsid w:val="5F3A45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2023-12-21T09:37:00Z</dcterms:created>
  <dc:creator>WPS</dc:creator>
  <cp:lastModifiedBy>WPS</cp:lastModifiedBy>
  <dcterms:modified xsi:type="dcterms:W3CDTF">2023-12-21T09:37:44Z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EA71C47847A64FFFBC936CEC3E51F832_11</vt:lpwstr>
  </property>
</Properties>
</file>