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"/>
        <w:gridCol w:w="660"/>
        <w:gridCol w:w="4355"/>
        <w:gridCol w:w="912"/>
        <w:gridCol w:w="1687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200" w:type="pct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942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525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332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200" w:type="pct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387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54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535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990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332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cs="Times New Roman"/>
              </w:rPr>
              <w:t xml:space="preserve">2024年工会会员生日蛋糕卡 </w:t>
            </w:r>
          </w:p>
        </w:tc>
        <w:tc>
          <w:tcPr>
            <w:tcW w:w="2554" w:type="pct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1、蛋糕卡为储值卡形式，可分期使用，不得标示或限定使用有效期，遗失可补办。</w:t>
            </w:r>
          </w:p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2、蛋糕卡为联卡，可以在不少于5个品牌蛋糕店内使用（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请于报价表中填写响应品牌及可使用门店地址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），蛋糕卡能在门店进行同等价值消费，可购买店内蛋糕、面包、饮品、坚果、礼品礼盒等。</w:t>
            </w:r>
          </w:p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3、蛋糕卡享受普通现金消费者的一切权利，无任何消费限制。</w:t>
            </w:r>
          </w:p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4、可使用的蛋糕店证件齐，所提供商品符合《中华人民共和国食品安全法》、《中华人民共和国产品质量法》及其他有关法律、法规规定。</w:t>
            </w:r>
          </w:p>
          <w:p>
            <w:pPr>
              <w:pStyle w:val="2"/>
              <w:ind w:firstLine="420" w:firstLineChars="200"/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、本项目根据每张兑换券面额人民币300元作为基准报出投标上浮率。投标上浮率不得为负数，且是固定唯一值的；如中标上浮率为X%，即兑换券面值=基准价（300元）×(1+X%)。例如：投标上浮率为10%，实际兑换券面值为：300元（基准价）×(1+10%)=330元，即采购人购得人民币330元面值的兑换券只需支付人民币300元。</w:t>
            </w:r>
          </w:p>
        </w:tc>
        <w:tc>
          <w:tcPr>
            <w:tcW w:w="535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cs="Times New Roman"/>
              </w:rPr>
              <w:t xml:space="preserve">2024年工会会员生日蛋糕卡 </w:t>
            </w:r>
          </w:p>
        </w:tc>
        <w:tc>
          <w:tcPr>
            <w:tcW w:w="990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2264CCD"/>
    <w:rsid w:val="0226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2023-12-25T09:45:00Z</dcterms:created>
  <dc:creator>WPS</dc:creator>
  <cp:lastModifiedBy>WPS</cp:lastModifiedBy>
  <dcterms:modified xsi:type="dcterms:W3CDTF">2023-12-25T09:45:50Z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B196A4300D3840869498CFE33596AF00_11</vt:lpwstr>
  </property>
</Properties>
</file>