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宋体" w:hAnsi="宋体" w:eastAsia="宋体" w:cs="宋体"/>
          <w:sz w:val="28"/>
          <w:szCs w:val="28"/>
        </w:rPr>
      </w:pPr>
      <w:r>
        <w:rPr>
          <w:rFonts w:hint="eastAsia" w:ascii="宋体" w:hAnsi="宋体" w:eastAsia="宋体" w:cs="宋体"/>
          <w:sz w:val="28"/>
          <w:szCs w:val="28"/>
        </w:rPr>
        <w:t>附件1</w:t>
      </w:r>
    </w:p>
    <w:p>
      <w:pPr>
        <w:pStyle w:val="2"/>
        <w:numPr>
          <w:ilvl w:val="3"/>
          <w:numId w:val="0"/>
        </w:numPr>
        <w:ind w:left="1075" w:hanging="1075" w:hangingChars="336"/>
        <w:jc w:val="center"/>
        <w:rPr>
          <w:rFonts w:hint="eastAsia"/>
          <w:sz w:val="32"/>
          <w:szCs w:val="32"/>
        </w:rPr>
      </w:pPr>
      <w:r>
        <w:rPr>
          <w:rFonts w:hint="eastAsia"/>
          <w:sz w:val="32"/>
          <w:szCs w:val="32"/>
        </w:rPr>
        <w:t>采购需求一览表</w:t>
      </w:r>
      <w:bookmarkStart w:id="0" w:name="_GoBack"/>
      <w:bookmarkEnd w:id="0"/>
    </w:p>
    <w:p>
      <w:pPr>
        <w:ind w:firstLine="420" w:firstLineChars="200"/>
      </w:pPr>
      <w:r>
        <w:rPr>
          <w:rFonts w:hint="eastAsia"/>
        </w:rPr>
        <w:t>说明：本采购需求一览表中标注▲号的内容为实质性要求和条件，响应人必须满足或优于，不满足或负偏离视为无效响应</w:t>
      </w:r>
      <w:r>
        <w:rPr>
          <w:rFonts w:hint="eastAsia"/>
          <w:lang w:eastAsia="zh-CN"/>
        </w:rPr>
        <w:t>；</w:t>
      </w:r>
      <w:r>
        <w:rPr>
          <w:rFonts w:hint="eastAsia"/>
        </w:rPr>
        <w:t>未标注▲号的条款和要求，不满足或负偏离达</w:t>
      </w:r>
      <w:r>
        <w:rPr>
          <w:rFonts w:hint="eastAsia"/>
          <w:highlight w:val="yellow"/>
        </w:rPr>
        <w:t>2项（</w:t>
      </w:r>
      <w:r>
        <w:rPr>
          <w:rFonts w:hint="eastAsia"/>
        </w:rPr>
        <w:t>含）以上的，视为无效响应。</w:t>
      </w:r>
    </w:p>
    <w:tbl>
      <w:tblPr>
        <w:tblStyle w:val="5"/>
        <w:tblW w:w="5058"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92"/>
        <w:gridCol w:w="958"/>
        <w:gridCol w:w="862"/>
        <w:gridCol w:w="5074"/>
        <w:gridCol w:w="113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28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56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货物名称</w:t>
            </w:r>
          </w:p>
        </w:tc>
        <w:tc>
          <w:tcPr>
            <w:tcW w:w="506"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2978"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技术参数</w:t>
            </w:r>
          </w:p>
        </w:tc>
        <w:tc>
          <w:tcPr>
            <w:tcW w:w="664"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预算合价（元）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8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1</w:t>
            </w:r>
          </w:p>
        </w:tc>
        <w:tc>
          <w:tcPr>
            <w:tcW w:w="562"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抽纸</w:t>
            </w:r>
          </w:p>
        </w:tc>
        <w:tc>
          <w:tcPr>
            <w:tcW w:w="50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rPr>
            </w:pPr>
            <w:r>
              <w:rPr>
                <w:rFonts w:hint="eastAsia" w:asciiTheme="minorEastAsia" w:hAnsiTheme="minorEastAsia" w:cstheme="minorEastAsia"/>
                <w:szCs w:val="21"/>
                <w:lang w:val="en-US" w:eastAsia="zh-CN"/>
              </w:rPr>
              <w:t>5000提</w:t>
            </w:r>
          </w:p>
        </w:tc>
        <w:tc>
          <w:tcPr>
            <w:tcW w:w="2978" w:type="pct"/>
            <w:tcBorders>
              <w:top w:val="single" w:color="auto" w:sz="4" w:space="0"/>
              <w:left w:val="single" w:color="auto" w:sz="4" w:space="0"/>
              <w:bottom w:val="single" w:color="auto" w:sz="4" w:space="0"/>
              <w:right w:val="single" w:color="auto" w:sz="4" w:space="0"/>
            </w:tcBorders>
            <w:vAlign w:val="center"/>
          </w:tcPr>
          <w:p>
            <w:pPr>
              <w:pStyle w:val="3"/>
              <w:numPr>
                <w:ilvl w:val="0"/>
                <w:numId w:val="0"/>
              </w:numPr>
              <w:rPr>
                <w:rFonts w:hint="eastAsia"/>
                <w:color w:val="auto"/>
                <w:kern w:val="0"/>
                <w:szCs w:val="21"/>
                <w:highlight w:val="none"/>
              </w:rPr>
            </w:pPr>
            <w:r>
              <w:rPr>
                <w:rFonts w:hint="eastAsia"/>
                <w:color w:val="auto"/>
                <w:kern w:val="0"/>
                <w:szCs w:val="21"/>
                <w:highlight w:val="none"/>
                <w:lang w:val="en-US" w:eastAsia="zh-CN"/>
              </w:rPr>
              <w:t>1、</w:t>
            </w:r>
            <w:r>
              <w:rPr>
                <w:rFonts w:hint="eastAsia"/>
                <w:color w:val="auto"/>
                <w:kern w:val="0"/>
                <w:szCs w:val="21"/>
                <w:highlight w:val="none"/>
              </w:rPr>
              <w:t>主要原料：100%原生木浆</w:t>
            </w:r>
          </w:p>
          <w:p>
            <w:pPr>
              <w:pStyle w:val="3"/>
              <w:numPr>
                <w:ilvl w:val="0"/>
                <w:numId w:val="0"/>
              </w:numPr>
              <w:rPr>
                <w:rFonts w:hint="eastAsia"/>
                <w:color w:val="auto"/>
                <w:kern w:val="0"/>
                <w:szCs w:val="21"/>
                <w:highlight w:val="none"/>
              </w:rPr>
            </w:pPr>
            <w:r>
              <w:rPr>
                <w:rFonts w:hint="eastAsia"/>
                <w:color w:val="auto"/>
                <w:kern w:val="0"/>
                <w:szCs w:val="21"/>
                <w:highlight w:val="none"/>
                <w:lang w:val="en-US" w:eastAsia="zh-CN"/>
              </w:rPr>
              <w:t>2、纸张层数</w:t>
            </w:r>
            <w:r>
              <w:rPr>
                <w:rFonts w:hint="eastAsia"/>
                <w:color w:val="auto"/>
                <w:kern w:val="0"/>
                <w:szCs w:val="21"/>
                <w:highlight w:val="none"/>
              </w:rPr>
              <w:t>：≥3层</w:t>
            </w:r>
          </w:p>
          <w:p>
            <w:pPr>
              <w:pStyle w:val="3"/>
              <w:numPr>
                <w:ilvl w:val="0"/>
                <w:numId w:val="0"/>
              </w:numPr>
              <w:rPr>
                <w:rFonts w:hint="default" w:eastAsiaTheme="minorEastAsia"/>
                <w:color w:val="auto"/>
                <w:kern w:val="0"/>
                <w:szCs w:val="21"/>
                <w:highlight w:val="none"/>
                <w:lang w:val="en-US" w:eastAsia="zh-CN"/>
              </w:rPr>
            </w:pPr>
            <w:r>
              <w:rPr>
                <w:rFonts w:hint="eastAsia"/>
                <w:color w:val="auto"/>
                <w:kern w:val="0"/>
                <w:szCs w:val="21"/>
                <w:highlight w:val="none"/>
                <w:lang w:val="en-US" w:eastAsia="zh-CN"/>
              </w:rPr>
              <w:t>3、产品</w:t>
            </w:r>
            <w:r>
              <w:rPr>
                <w:rFonts w:hint="eastAsia"/>
                <w:color w:val="auto"/>
                <w:kern w:val="0"/>
                <w:szCs w:val="21"/>
                <w:highlight w:val="none"/>
              </w:rPr>
              <w:t>规格：195mm（±10mm）</w:t>
            </w:r>
            <w:r>
              <w:rPr>
                <w:rFonts w:hint="eastAsia"/>
                <w:color w:val="auto"/>
                <w:kern w:val="0"/>
                <w:szCs w:val="21"/>
                <w:highlight w:val="none"/>
                <w:lang w:val="en-US" w:eastAsia="zh-CN"/>
              </w:rPr>
              <w:t>*</w:t>
            </w:r>
            <w:r>
              <w:rPr>
                <w:rFonts w:hint="eastAsia"/>
                <w:color w:val="auto"/>
                <w:kern w:val="0"/>
                <w:szCs w:val="21"/>
                <w:highlight w:val="none"/>
              </w:rPr>
              <w:t>133mm（±10mm）</w:t>
            </w:r>
          </w:p>
          <w:p>
            <w:pPr>
              <w:pStyle w:val="3"/>
              <w:numPr>
                <w:ilvl w:val="0"/>
                <w:numId w:val="0"/>
              </w:numPr>
              <w:rPr>
                <w:rFonts w:hint="eastAsia"/>
                <w:color w:val="auto"/>
                <w:kern w:val="0"/>
                <w:szCs w:val="21"/>
                <w:highlight w:val="none"/>
              </w:rPr>
            </w:pPr>
            <w:r>
              <w:rPr>
                <w:rFonts w:hint="eastAsia"/>
                <w:color w:val="auto"/>
                <w:kern w:val="0"/>
                <w:szCs w:val="21"/>
                <w:highlight w:val="none"/>
                <w:lang w:val="en-US" w:eastAsia="zh-CN"/>
              </w:rPr>
              <w:t>4、包装规格：每提≥3包，每包≥120抽</w:t>
            </w:r>
          </w:p>
          <w:p>
            <w:pPr>
              <w:pStyle w:val="3"/>
              <w:numPr>
                <w:ilvl w:val="0"/>
                <w:numId w:val="0"/>
              </w:numPr>
              <w:rPr>
                <w:rFonts w:hint="eastAsia"/>
                <w:color w:val="auto"/>
                <w:kern w:val="0"/>
                <w:szCs w:val="21"/>
                <w:highlight w:val="none"/>
              </w:rPr>
            </w:pPr>
            <w:r>
              <w:rPr>
                <w:rFonts w:hint="eastAsia"/>
                <w:color w:val="auto"/>
                <w:kern w:val="0"/>
                <w:szCs w:val="21"/>
                <w:highlight w:val="none"/>
                <w:lang w:val="en-US" w:eastAsia="zh-CN"/>
              </w:rPr>
              <w:t>5、</w:t>
            </w:r>
            <w:r>
              <w:rPr>
                <w:rFonts w:hint="eastAsia"/>
                <w:color w:val="auto"/>
                <w:kern w:val="0"/>
                <w:szCs w:val="21"/>
                <w:highlight w:val="none"/>
              </w:rPr>
              <w:t>执行标准：GB/T 20808</w:t>
            </w:r>
          </w:p>
          <w:p>
            <w:pPr>
              <w:pStyle w:val="3"/>
              <w:numPr>
                <w:ilvl w:val="0"/>
                <w:numId w:val="0"/>
              </w:numPr>
              <w:rPr>
                <w:rFonts w:hint="default" w:eastAsiaTheme="minorEastAsia"/>
                <w:color w:val="auto"/>
                <w:kern w:val="0"/>
                <w:szCs w:val="21"/>
                <w:highlight w:val="none"/>
                <w:lang w:val="en-US" w:eastAsia="zh-CN"/>
              </w:rPr>
            </w:pPr>
            <w:r>
              <w:rPr>
                <w:rFonts w:hint="eastAsia"/>
                <w:color w:val="auto"/>
                <w:kern w:val="0"/>
                <w:szCs w:val="21"/>
                <w:highlight w:val="none"/>
                <w:lang w:val="en-US" w:eastAsia="zh-CN"/>
              </w:rPr>
              <w:t>6、保质期：≥3年</w:t>
            </w:r>
          </w:p>
          <w:p>
            <w:pPr>
              <w:pStyle w:val="3"/>
              <w:numPr>
                <w:ilvl w:val="0"/>
                <w:numId w:val="0"/>
              </w:numPr>
              <w:rPr>
                <w:rFonts w:hint="default" w:ascii="宋体" w:hAnsi="宋体" w:eastAsia="宋体" w:cs="宋体"/>
                <w:vertAlign w:val="baseline"/>
                <w:lang w:val="en-US" w:eastAsia="zh-CN"/>
              </w:rPr>
            </w:pPr>
            <w:r>
              <w:rPr>
                <w:rFonts w:hint="eastAsia"/>
              </w:rPr>
              <w:t>▲</w:t>
            </w:r>
            <w:r>
              <w:rPr>
                <w:rFonts w:hint="eastAsia" w:ascii="宋体" w:hAnsi="宋体" w:eastAsia="宋体" w:cs="宋体"/>
                <w:vertAlign w:val="baseline"/>
                <w:lang w:val="en-US" w:eastAsia="zh-CN"/>
              </w:rPr>
              <w:t>7、交货时，抽纸剩余保质期不少于产品标注保质期的三分之二。</w:t>
            </w:r>
          </w:p>
          <w:p>
            <w:pPr>
              <w:pStyle w:val="3"/>
              <w:numPr>
                <w:ilvl w:val="0"/>
                <w:numId w:val="0"/>
              </w:numPr>
              <w:rPr>
                <w:rFonts w:hint="default" w:ascii="宋体" w:hAnsi="宋体" w:eastAsia="宋体" w:cs="宋体"/>
                <w:lang w:val="en-US" w:eastAsia="zh-CN"/>
              </w:rPr>
            </w:pPr>
            <w:r>
              <w:rPr>
                <w:rFonts w:hint="eastAsia" w:eastAsia="宋体"/>
                <w:color w:val="auto"/>
                <w:kern w:val="0"/>
                <w:szCs w:val="21"/>
                <w:highlight w:val="none"/>
                <w:lang w:val="en-US" w:eastAsia="zh-CN"/>
              </w:rPr>
              <w:t>8</w:t>
            </w:r>
            <w:r>
              <w:rPr>
                <w:rFonts w:hint="eastAsia" w:ascii="宋体" w:hAnsi="宋体" w:eastAsia="宋体" w:cs="宋体"/>
                <w:lang w:val="en-US" w:eastAsia="zh-CN"/>
              </w:rPr>
              <w:t>、响应供应商须提供1个样品，用于项目评审，也作为最终交货产品。项目评审结束后，样品退还响应供应商。</w:t>
            </w:r>
          </w:p>
        </w:tc>
        <w:tc>
          <w:tcPr>
            <w:tcW w:w="664" w:type="pct"/>
            <w:vMerge w:val="restart"/>
            <w:tcBorders>
              <w:top w:val="single" w:color="auto" w:sz="4" w:space="0"/>
              <w:left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98000.00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8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2</w:t>
            </w:r>
          </w:p>
        </w:tc>
        <w:tc>
          <w:tcPr>
            <w:tcW w:w="562"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饭盒</w:t>
            </w:r>
          </w:p>
        </w:tc>
        <w:tc>
          <w:tcPr>
            <w:tcW w:w="50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2000个</w:t>
            </w:r>
          </w:p>
        </w:tc>
        <w:tc>
          <w:tcPr>
            <w:tcW w:w="2978" w:type="pct"/>
            <w:tcBorders>
              <w:top w:val="single" w:color="auto" w:sz="4" w:space="0"/>
              <w:left w:val="single" w:color="auto" w:sz="4" w:space="0"/>
              <w:bottom w:val="single" w:color="auto" w:sz="4" w:space="0"/>
              <w:right w:val="single" w:color="auto" w:sz="4" w:space="0"/>
            </w:tcBorders>
            <w:vAlign w:val="center"/>
          </w:tcPr>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ascii="宋体" w:hAnsi="宋体" w:eastAsia="宋体" w:cs="宋体"/>
                <w:lang w:val="en-US" w:eastAsia="zh-CN"/>
              </w:rPr>
              <w:t>1、盒体材质：可用于微波炉加热的高硼硅耐热玻璃</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ascii="宋体" w:hAnsi="宋体" w:eastAsia="宋体" w:cs="宋体"/>
                <w:lang w:val="en-US" w:eastAsia="zh-CN"/>
              </w:rPr>
              <w:t>2、盒盖材质：食品级安全PP材质</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ascii="宋体" w:hAnsi="宋体" w:eastAsia="宋体" w:cs="宋体"/>
                <w:lang w:val="en-US" w:eastAsia="zh-CN"/>
              </w:rPr>
              <w:t>3、密封圈材质：食品接触用硅胶</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ascii="宋体" w:hAnsi="宋体" w:eastAsia="宋体" w:cs="宋体"/>
                <w:lang w:val="en-US" w:eastAsia="zh-CN"/>
              </w:rPr>
              <w:t>4、容量：≥500ml</w:t>
            </w:r>
          </w:p>
          <w:p>
            <w:pPr>
              <w:pStyle w:val="3"/>
              <w:widowControl w:val="0"/>
              <w:numPr>
                <w:ilvl w:val="0"/>
                <w:numId w:val="0"/>
              </w:numPr>
              <w:spacing w:after="120"/>
              <w:ind w:left="13" w:leftChars="0"/>
              <w:jc w:val="both"/>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5、饭盒可适用于微波炉、冰箱、烤箱、洗碗机</w:t>
            </w:r>
          </w:p>
          <w:p>
            <w:pPr>
              <w:pStyle w:val="3"/>
              <w:widowControl w:val="0"/>
              <w:numPr>
                <w:ilvl w:val="0"/>
                <w:numId w:val="0"/>
              </w:numPr>
              <w:spacing w:after="120"/>
              <w:ind w:left="13" w:leftChars="0"/>
              <w:jc w:val="both"/>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6、执行标准:GB/4806.5-2016，GB/4806.11-2016。</w:t>
            </w:r>
          </w:p>
          <w:p>
            <w:pPr>
              <w:pStyle w:val="3"/>
              <w:widowControl w:val="0"/>
              <w:numPr>
                <w:ilvl w:val="0"/>
                <w:numId w:val="0"/>
              </w:numPr>
              <w:spacing w:after="120"/>
              <w:ind w:left="13" w:leftChars="0"/>
              <w:jc w:val="both"/>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7、供货时提供国家认可的具有资质的第三方检测机构出具的检测报告 (检测依据见第 6点执行标准)。</w:t>
            </w:r>
          </w:p>
          <w:p>
            <w:pPr>
              <w:pStyle w:val="3"/>
              <w:widowControl w:val="0"/>
              <w:numPr>
                <w:ilvl w:val="0"/>
                <w:numId w:val="0"/>
              </w:numPr>
              <w:spacing w:after="120"/>
              <w:ind w:left="13" w:leftChars="0"/>
              <w:jc w:val="both"/>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8、独立包装盒。</w:t>
            </w:r>
          </w:p>
          <w:p>
            <w:pPr>
              <w:pStyle w:val="3"/>
              <w:widowControl w:val="0"/>
              <w:numPr>
                <w:ilvl w:val="0"/>
                <w:numId w:val="0"/>
              </w:numPr>
              <w:spacing w:after="120"/>
              <w:ind w:left="13" w:leftChars="0"/>
              <w:jc w:val="both"/>
              <w:rPr>
                <w:rFonts w:hint="eastAsia" w:ascii="宋体" w:hAnsi="宋体" w:eastAsia="宋体" w:cs="宋体"/>
                <w:lang w:val="en-US" w:eastAsia="zh-CN"/>
              </w:rPr>
            </w:pPr>
            <w:r>
              <w:rPr>
                <w:rFonts w:hint="eastAsia" w:ascii="宋体" w:hAnsi="宋体" w:eastAsia="宋体" w:cs="宋体"/>
                <w:lang w:val="en-US" w:eastAsia="zh-CN"/>
              </w:rPr>
              <w:t>9、响应供应商须提供1个样品，用于项目评审，也作为最终交货产品。项目评审结束后，样品退还响应供应商。</w:t>
            </w:r>
          </w:p>
          <w:p>
            <w:pPr>
              <w:pStyle w:val="3"/>
              <w:widowControl w:val="0"/>
              <w:numPr>
                <w:ilvl w:val="0"/>
                <w:numId w:val="0"/>
              </w:numPr>
              <w:spacing w:after="120"/>
              <w:jc w:val="both"/>
              <w:rPr>
                <w:rFonts w:hint="eastAsia" w:ascii="宋体" w:hAnsi="宋体" w:eastAsia="宋体" w:cs="宋体"/>
                <w:lang w:val="en-US" w:eastAsia="zh-CN"/>
              </w:rPr>
            </w:pPr>
            <w:r>
              <w:rPr>
                <w:rFonts w:hint="eastAsia" w:ascii="宋体" w:hAnsi="宋体" w:eastAsia="宋体" w:cs="宋体"/>
                <w:lang w:val="en-US" w:eastAsia="zh-CN"/>
              </w:rPr>
              <w:t>10、产品参考图：</w:t>
            </w:r>
          </w:p>
          <w:p>
            <w:pPr>
              <w:pStyle w:val="3"/>
              <w:widowControl w:val="0"/>
              <w:numPr>
                <w:ilvl w:val="0"/>
                <w:numId w:val="0"/>
              </w:numPr>
              <w:spacing w:after="120"/>
              <w:jc w:val="both"/>
              <w:rPr>
                <w:rFonts w:hint="default" w:ascii="宋体" w:hAnsi="宋体" w:eastAsia="宋体" w:cs="宋体"/>
                <w:lang w:val="en-US" w:eastAsia="zh-CN"/>
              </w:rPr>
            </w:pPr>
            <w:r>
              <w:rPr>
                <w:rFonts w:hint="eastAsia" w:ascii="宋体" w:hAnsi="宋体" w:eastAsia="宋体" w:cs="宋体"/>
                <w:lang w:val="en-US" w:eastAsia="zh-CN"/>
              </w:rPr>
              <w:drawing>
                <wp:inline distT="0" distB="0" distL="114300" distR="114300">
                  <wp:extent cx="1038860" cy="1031875"/>
                  <wp:effectExtent l="0" t="0" r="8890" b="15875"/>
                  <wp:docPr id="3" name="图片 3" descr="2144df042fca250a5673223381b3d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144df042fca250a5673223381b3d52"/>
                          <pic:cNvPicPr>
                            <a:picLocks noChangeAspect="1"/>
                          </pic:cNvPicPr>
                        </pic:nvPicPr>
                        <pic:blipFill>
                          <a:blip r:embed="rId4"/>
                          <a:stretch>
                            <a:fillRect/>
                          </a:stretch>
                        </pic:blipFill>
                        <pic:spPr>
                          <a:xfrm>
                            <a:off x="0" y="0"/>
                            <a:ext cx="1038860" cy="1031875"/>
                          </a:xfrm>
                          <a:prstGeom prst="rect">
                            <a:avLst/>
                          </a:prstGeom>
                        </pic:spPr>
                      </pic:pic>
                    </a:graphicData>
                  </a:graphic>
                </wp:inline>
              </w:drawing>
            </w:r>
          </w:p>
        </w:tc>
        <w:tc>
          <w:tcPr>
            <w:tcW w:w="664" w:type="pct"/>
            <w:vMerge w:val="continue"/>
            <w:tcBorders>
              <w:left w:val="single" w:color="auto" w:sz="4" w:space="0"/>
              <w:right w:val="single" w:color="auto" w:sz="4" w:space="0"/>
            </w:tcBorders>
            <w:vAlign w:val="center"/>
          </w:tcPr>
          <w:p>
            <w:pPr>
              <w:pStyle w:val="3"/>
              <w:jc w:val="center"/>
              <w:rPr>
                <w:rFonts w:hint="default" w:asciiTheme="minorEastAsia" w:hAnsiTheme="minorEastAsia" w:eastAsiaTheme="minorEastAsia" w:cs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28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3</w:t>
            </w:r>
          </w:p>
        </w:tc>
        <w:tc>
          <w:tcPr>
            <w:tcW w:w="562" w:type="pct"/>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洗洁精</w:t>
            </w:r>
          </w:p>
        </w:tc>
        <w:tc>
          <w:tcPr>
            <w:tcW w:w="506" w:type="pct"/>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2800瓶</w:t>
            </w:r>
          </w:p>
        </w:tc>
        <w:tc>
          <w:tcPr>
            <w:tcW w:w="2978" w:type="pct"/>
            <w:tcBorders>
              <w:top w:val="single" w:color="auto" w:sz="4" w:space="0"/>
              <w:left w:val="single" w:color="auto" w:sz="4" w:space="0"/>
              <w:bottom w:val="single" w:color="auto" w:sz="4" w:space="0"/>
              <w:right w:val="single" w:color="auto" w:sz="4" w:space="0"/>
            </w:tcBorders>
            <w:vAlign w:val="center"/>
          </w:tcPr>
          <w:p>
            <w:pPr>
              <w:pStyle w:val="3"/>
              <w:widowControl w:val="0"/>
              <w:numPr>
                <w:ilvl w:val="0"/>
                <w:numId w:val="0"/>
              </w:numPr>
              <w:spacing w:after="120"/>
              <w:jc w:val="both"/>
              <w:rPr>
                <w:rFonts w:hint="eastAsia"/>
              </w:rPr>
            </w:pPr>
            <w:r>
              <w:rPr>
                <w:rFonts w:hint="eastAsia" w:ascii="Times New Roman" w:hAnsi="Times New Roman" w:eastAsiaTheme="minorEastAsia" w:cstheme="minorBidi"/>
                <w:kern w:val="2"/>
                <w:sz w:val="21"/>
                <w:szCs w:val="24"/>
                <w:lang w:val="en-US" w:eastAsia="zh-CN" w:bidi="ar-SA"/>
              </w:rPr>
              <w:t>1、</w:t>
            </w:r>
            <w:r>
              <w:rPr>
                <w:rFonts w:hint="eastAsia"/>
                <w:lang w:val="en-US" w:eastAsia="zh-CN"/>
              </w:rPr>
              <w:t>产品</w:t>
            </w:r>
            <w:r>
              <w:rPr>
                <w:rFonts w:hint="eastAsia"/>
              </w:rPr>
              <w:t>规格：≥1kg</w:t>
            </w:r>
          </w:p>
          <w:p>
            <w:pPr>
              <w:pStyle w:val="3"/>
              <w:widowControl w:val="0"/>
              <w:numPr>
                <w:ilvl w:val="0"/>
                <w:numId w:val="0"/>
              </w:numPr>
              <w:spacing w:after="120"/>
              <w:jc w:val="both"/>
              <w:rPr>
                <w:rFonts w:hint="default"/>
                <w:lang w:val="en-US" w:eastAsia="zh-CN"/>
              </w:rPr>
            </w:pPr>
            <w:r>
              <w:rPr>
                <w:rFonts w:hint="eastAsia" w:ascii="Times New Roman" w:hAnsi="Times New Roman" w:eastAsiaTheme="minorEastAsia" w:cstheme="minorBidi"/>
                <w:kern w:val="2"/>
                <w:sz w:val="21"/>
                <w:szCs w:val="24"/>
                <w:lang w:val="en-US" w:eastAsia="zh-CN" w:bidi="ar-SA"/>
              </w:rPr>
              <w:t>2、</w:t>
            </w:r>
            <w:r>
              <w:rPr>
                <w:rFonts w:hint="eastAsia" w:cstheme="minorBidi"/>
                <w:kern w:val="2"/>
                <w:sz w:val="21"/>
                <w:szCs w:val="24"/>
                <w:lang w:val="en-US" w:eastAsia="zh-CN" w:bidi="ar-SA"/>
              </w:rPr>
              <w:t>款式：</w:t>
            </w:r>
            <w:r>
              <w:rPr>
                <w:rFonts w:hint="eastAsia"/>
              </w:rPr>
              <w:t>按压式</w:t>
            </w:r>
            <w:r>
              <w:rPr>
                <w:rFonts w:hint="eastAsia"/>
                <w:lang w:val="en-US" w:eastAsia="zh-CN"/>
              </w:rPr>
              <w:t>出口</w:t>
            </w:r>
          </w:p>
          <w:p>
            <w:pPr>
              <w:pStyle w:val="3"/>
              <w:widowControl w:val="0"/>
              <w:numPr>
                <w:ilvl w:val="0"/>
                <w:numId w:val="0"/>
              </w:numPr>
              <w:spacing w:after="120"/>
              <w:jc w:val="both"/>
              <w:rPr>
                <w:rFonts w:hint="eastAsia"/>
              </w:rPr>
            </w:pPr>
            <w:r>
              <w:rPr>
                <w:rFonts w:hint="eastAsia"/>
                <w:lang w:val="en-US" w:eastAsia="zh-CN"/>
              </w:rPr>
              <w:t>3、产品所属类别</w:t>
            </w:r>
            <w:r>
              <w:rPr>
                <w:rFonts w:hint="eastAsia"/>
              </w:rPr>
              <w:t>：GB 14930.1《食品安全国家标准 洗涤剂》A类</w:t>
            </w:r>
          </w:p>
          <w:p>
            <w:pPr>
              <w:pStyle w:val="3"/>
              <w:widowControl w:val="0"/>
              <w:numPr>
                <w:ilvl w:val="0"/>
                <w:numId w:val="0"/>
              </w:numPr>
              <w:spacing w:after="120"/>
              <w:jc w:val="both"/>
              <w:rPr>
                <w:rFonts w:hint="eastAsia" w:eastAsiaTheme="minorEastAsia"/>
                <w:lang w:val="en-US" w:eastAsia="zh-CN"/>
              </w:rPr>
            </w:pPr>
            <w:r>
              <w:rPr>
                <w:rFonts w:hint="eastAsia"/>
                <w:lang w:val="en-US" w:eastAsia="zh-CN"/>
              </w:rPr>
              <w:t>4、执行标准:GB/T9985(手洗餐具用洗涤剂)</w:t>
            </w:r>
          </w:p>
          <w:p>
            <w:pPr>
              <w:pStyle w:val="3"/>
              <w:widowControl w:val="0"/>
              <w:numPr>
                <w:ilvl w:val="0"/>
                <w:numId w:val="0"/>
              </w:numPr>
              <w:spacing w:after="120"/>
              <w:jc w:val="both"/>
              <w:rPr>
                <w:rFonts w:hint="eastAsia"/>
                <w:lang w:val="en-US" w:eastAsia="zh-CN"/>
              </w:rPr>
            </w:pPr>
            <w:r>
              <w:rPr>
                <w:rFonts w:hint="eastAsia"/>
                <w:lang w:val="en-US" w:eastAsia="zh-CN"/>
              </w:rPr>
              <w:t>5、保质期：≥3年</w:t>
            </w:r>
          </w:p>
          <w:p>
            <w:pPr>
              <w:pStyle w:val="3"/>
              <w:numPr>
                <w:ilvl w:val="0"/>
                <w:numId w:val="0"/>
              </w:numPr>
              <w:rPr>
                <w:rFonts w:hint="default" w:ascii="宋体" w:hAnsi="宋体" w:eastAsia="宋体" w:cs="宋体"/>
                <w:vertAlign w:val="baseline"/>
                <w:lang w:val="en-US" w:eastAsia="zh-CN"/>
              </w:rPr>
            </w:pPr>
            <w:r>
              <w:rPr>
                <w:rFonts w:hint="eastAsia"/>
              </w:rPr>
              <w:t>▲</w:t>
            </w:r>
            <w:r>
              <w:rPr>
                <w:rFonts w:hint="eastAsia"/>
                <w:lang w:val="en-US" w:eastAsia="zh-CN"/>
              </w:rPr>
              <w:t>6、</w:t>
            </w:r>
            <w:r>
              <w:rPr>
                <w:rFonts w:hint="eastAsia" w:ascii="宋体" w:hAnsi="宋体" w:eastAsia="宋体" w:cs="宋体"/>
                <w:vertAlign w:val="baseline"/>
                <w:lang w:val="en-US" w:eastAsia="zh-CN"/>
              </w:rPr>
              <w:t>交货时，洗洁精剩余保质期不少于产品标注保质期的三分之二。</w:t>
            </w:r>
          </w:p>
          <w:p>
            <w:pPr>
              <w:pStyle w:val="3"/>
              <w:widowControl w:val="0"/>
              <w:numPr>
                <w:ilvl w:val="0"/>
                <w:numId w:val="0"/>
              </w:numPr>
              <w:spacing w:after="120"/>
              <w:jc w:val="both"/>
              <w:rPr>
                <w:rFonts w:hint="default"/>
                <w:lang w:val="en-US" w:eastAsia="zh-CN"/>
              </w:rPr>
            </w:pPr>
            <w:r>
              <w:rPr>
                <w:rFonts w:hint="eastAsia" w:ascii="宋体" w:hAnsi="宋体" w:eastAsia="宋体" w:cs="宋体"/>
                <w:lang w:val="en-US" w:eastAsia="zh-CN"/>
              </w:rPr>
              <w:t>7、响应供应商须提供1个样品，用于项目评审，也作为最终交货产品。项目评审结束后，样品退还响应供应商。</w:t>
            </w:r>
          </w:p>
        </w:tc>
        <w:tc>
          <w:tcPr>
            <w:tcW w:w="664" w:type="pct"/>
            <w:vMerge w:val="continue"/>
            <w:tcBorders>
              <w:left w:val="single" w:color="auto" w:sz="4" w:space="0"/>
              <w:bottom w:val="single" w:color="auto" w:sz="4" w:space="0"/>
              <w:right w:val="single" w:color="auto" w:sz="4" w:space="0"/>
            </w:tcBorders>
            <w:vAlign w:val="center"/>
          </w:tcPr>
          <w:p>
            <w:pPr>
              <w:pStyle w:val="3"/>
              <w:jc w:val="center"/>
              <w:rPr>
                <w:rFonts w:hint="eastAsia" w:asciiTheme="minorEastAsia" w:hAnsiTheme="minorEastAsia" w:cs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28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710" w:type="pct"/>
            <w:gridSpan w:val="4"/>
            <w:tcBorders>
              <w:top w:val="single" w:color="auto" w:sz="4" w:space="0"/>
              <w:left w:val="single" w:color="auto" w:sz="4" w:space="0"/>
              <w:bottom w:val="single" w:color="auto" w:sz="4" w:space="0"/>
              <w:right w:val="single" w:color="auto" w:sz="4" w:space="0"/>
            </w:tcBorders>
          </w:tcPr>
          <w:p>
            <w:pPr>
              <w:widowControl/>
              <w:shd w:val="clear" w:color="auto" w:fill="FFFFFF"/>
              <w:spacing w:line="360" w:lineRule="auto"/>
              <w:rPr>
                <w:rFonts w:ascii="宋体" w:hAnsi="宋体"/>
                <w:szCs w:val="21"/>
              </w:rPr>
            </w:pPr>
            <w:r>
              <w:rPr>
                <w:rFonts w:hint="eastAsia" w:ascii="宋体" w:hAnsi="宋体"/>
                <w:szCs w:val="21"/>
              </w:rPr>
              <w:t xml:space="preserve">一、合同签订期：自采购结果公告结束之日起 </w:t>
            </w:r>
            <w:r>
              <w:rPr>
                <w:rFonts w:hint="eastAsia" w:ascii="宋体" w:hAnsi="宋体"/>
                <w:szCs w:val="21"/>
                <w:lang w:val="en-US" w:eastAsia="zh-CN"/>
              </w:rPr>
              <w:t>3</w:t>
            </w:r>
            <w:r>
              <w:rPr>
                <w:rFonts w:hint="eastAsia" w:ascii="宋体" w:hAnsi="宋体"/>
                <w:szCs w:val="21"/>
              </w:rPr>
              <w:t>个工作日内。</w:t>
            </w:r>
          </w:p>
          <w:p>
            <w:pPr>
              <w:widowControl/>
              <w:shd w:val="clear" w:color="auto" w:fill="FFFFFF"/>
              <w:spacing w:line="360" w:lineRule="auto"/>
              <w:rPr>
                <w:rFonts w:ascii="宋体" w:hAnsi="宋体"/>
                <w:szCs w:val="21"/>
              </w:rPr>
            </w:pPr>
            <w:r>
              <w:rPr>
                <w:rFonts w:hint="eastAsia"/>
                <w:color w:val="auto"/>
                <w:kern w:val="0"/>
                <w:szCs w:val="21"/>
                <w:highlight w:val="none"/>
              </w:rPr>
              <w:t>▲</w:t>
            </w:r>
            <w:r>
              <w:rPr>
                <w:rFonts w:hint="eastAsia" w:ascii="宋体" w:hAnsi="宋体"/>
                <w:szCs w:val="21"/>
              </w:rPr>
              <w:t>二、交货期：自合同签订之日起</w:t>
            </w:r>
            <w:r>
              <w:rPr>
                <w:rFonts w:hint="eastAsia" w:ascii="宋体" w:hAnsi="宋体"/>
                <w:szCs w:val="21"/>
                <w:highlight w:val="yellow"/>
                <w:lang w:val="en-US" w:eastAsia="zh-CN"/>
              </w:rPr>
              <w:t>3</w:t>
            </w:r>
            <w:r>
              <w:rPr>
                <w:rFonts w:hint="eastAsia" w:ascii="宋体" w:hAnsi="宋体"/>
                <w:szCs w:val="21"/>
                <w:highlight w:val="yellow"/>
              </w:rPr>
              <w:t>个</w:t>
            </w:r>
            <w:r>
              <w:rPr>
                <w:rFonts w:hint="eastAsia" w:ascii="宋体" w:hAnsi="宋体"/>
                <w:szCs w:val="21"/>
              </w:rPr>
              <w:t>工作日内按照南宁中心血站指定地点交付。</w:t>
            </w:r>
          </w:p>
          <w:p>
            <w:pPr>
              <w:widowControl/>
              <w:shd w:val="clear" w:color="auto" w:fill="FFFFFF"/>
              <w:spacing w:line="360" w:lineRule="auto"/>
              <w:rPr>
                <w:rFonts w:ascii="宋体" w:hAnsi="宋体"/>
                <w:szCs w:val="21"/>
              </w:rPr>
            </w:pPr>
            <w:r>
              <w:rPr>
                <w:rFonts w:hint="eastAsia" w:ascii="宋体" w:hAnsi="宋体"/>
                <w:szCs w:val="21"/>
              </w:rPr>
              <w:t xml:space="preserve">三、交货地点：南宁中心血站指定地点。 </w:t>
            </w:r>
          </w:p>
          <w:p>
            <w:pPr>
              <w:widowControl/>
              <w:shd w:val="clear" w:color="auto" w:fill="FFFFFF"/>
              <w:spacing w:line="360" w:lineRule="auto"/>
              <w:rPr>
                <w:rFonts w:ascii="宋体" w:hAnsi="宋体"/>
                <w:szCs w:val="21"/>
              </w:rPr>
            </w:pPr>
            <w:r>
              <w:rPr>
                <w:rFonts w:hint="eastAsia" w:ascii="宋体" w:hAnsi="宋体"/>
                <w:szCs w:val="21"/>
              </w:rPr>
              <w:t>四、交货方式及要求：</w:t>
            </w:r>
          </w:p>
          <w:p>
            <w:pPr>
              <w:widowControl/>
              <w:shd w:val="clear" w:color="auto" w:fill="FFFFFF"/>
              <w:spacing w:line="360" w:lineRule="auto"/>
              <w:rPr>
                <w:rFonts w:ascii="宋体" w:hAnsi="宋体"/>
                <w:szCs w:val="21"/>
              </w:rPr>
            </w:pPr>
            <w:r>
              <w:rPr>
                <w:rFonts w:hint="eastAsia" w:ascii="宋体" w:hAnsi="宋体"/>
                <w:szCs w:val="21"/>
              </w:rPr>
              <w:t>1、交货方式：现场交货</w:t>
            </w:r>
          </w:p>
          <w:p>
            <w:pPr>
              <w:widowControl/>
              <w:shd w:val="clear" w:color="auto" w:fill="FFFFFF"/>
              <w:spacing w:line="360" w:lineRule="auto"/>
              <w:rPr>
                <w:rFonts w:ascii="宋体" w:hAnsi="宋体"/>
                <w:szCs w:val="21"/>
              </w:rPr>
            </w:pPr>
            <w:r>
              <w:rPr>
                <w:rFonts w:hint="eastAsia" w:ascii="宋体" w:hAnsi="宋体"/>
                <w:szCs w:val="21"/>
              </w:rPr>
              <w:t>2、交货要求：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pPr>
              <w:widowControl/>
              <w:shd w:val="clear" w:color="auto" w:fill="FFFFFF"/>
              <w:spacing w:line="360" w:lineRule="auto"/>
              <w:rPr>
                <w:rFonts w:ascii="宋体" w:hAnsi="宋体"/>
                <w:szCs w:val="21"/>
              </w:rPr>
            </w:pPr>
            <w:r>
              <w:rPr>
                <w:rFonts w:hint="eastAsia" w:ascii="宋体" w:hAnsi="宋体"/>
                <w:szCs w:val="21"/>
              </w:rPr>
              <w:t>五、验收方式及要求：</w:t>
            </w:r>
          </w:p>
          <w:p>
            <w:pPr>
              <w:widowControl/>
              <w:shd w:val="clear" w:color="auto" w:fill="FFFFFF"/>
              <w:spacing w:line="360" w:lineRule="auto"/>
              <w:rPr>
                <w:rFonts w:ascii="宋体" w:hAnsi="宋体"/>
                <w:szCs w:val="21"/>
              </w:rPr>
            </w:pPr>
            <w:r>
              <w:rPr>
                <w:rFonts w:hint="eastAsia" w:ascii="宋体" w:hAnsi="宋体"/>
                <w:szCs w:val="21"/>
              </w:rPr>
              <w:t>1、交货时，所有产品均严格按采购文件上的技术参数要求，采购人按中标人响应和承诺的技术参数及性能和国家有关标准进行验收，达不到要求的不予验收，视为产品验收不合格，并且保留追究成交供应商虚假响应的法律责任。</w:t>
            </w:r>
          </w:p>
          <w:p>
            <w:pPr>
              <w:widowControl/>
              <w:shd w:val="clear" w:color="auto" w:fill="FFFFFF"/>
              <w:spacing w:line="360" w:lineRule="auto"/>
              <w:rPr>
                <w:rFonts w:ascii="宋体" w:hAnsi="宋体"/>
                <w:szCs w:val="21"/>
              </w:rPr>
            </w:pPr>
            <w:r>
              <w:rPr>
                <w:rFonts w:hint="eastAsia" w:ascii="宋体" w:hAnsi="宋体"/>
                <w:szCs w:val="21"/>
              </w:rPr>
              <w:t>2、按要求供货到现场(包括包装、卸货及搬运)。</w:t>
            </w:r>
          </w:p>
          <w:p>
            <w:pPr>
              <w:widowControl/>
              <w:shd w:val="clear" w:color="auto" w:fill="FFFFFF"/>
              <w:spacing w:line="360" w:lineRule="auto"/>
              <w:rPr>
                <w:rFonts w:ascii="宋体" w:hAnsi="宋体"/>
                <w:szCs w:val="21"/>
              </w:rPr>
            </w:pPr>
            <w:r>
              <w:rPr>
                <w:rFonts w:hint="eastAsia" w:ascii="宋体" w:hAnsi="宋体"/>
                <w:szCs w:val="21"/>
              </w:rPr>
              <w:t>六、售后服务要求：</w:t>
            </w:r>
          </w:p>
          <w:p>
            <w:pPr>
              <w:widowControl/>
              <w:shd w:val="clear" w:color="auto" w:fill="FFFFFF"/>
              <w:spacing w:line="360" w:lineRule="auto"/>
              <w:rPr>
                <w:rFonts w:ascii="宋体" w:hAnsi="宋体"/>
                <w:szCs w:val="21"/>
              </w:rPr>
            </w:pPr>
            <w:r>
              <w:rPr>
                <w:rFonts w:hint="eastAsia" w:ascii="宋体" w:hAnsi="宋体"/>
                <w:szCs w:val="21"/>
              </w:rPr>
              <w:t>1、质量保证期  1  年（自交货并验收合格之日起计），质量保证期内按国家有关产品“三包”规定执行“三包”，质量保证期内因产品质量问题发生的相关费用由成交供应商承担。</w:t>
            </w:r>
          </w:p>
          <w:p>
            <w:pPr>
              <w:widowControl/>
              <w:shd w:val="clear" w:color="auto" w:fill="FFFFFF"/>
              <w:spacing w:line="360" w:lineRule="auto"/>
              <w:rPr>
                <w:rFonts w:ascii="宋体" w:hAnsi="宋体"/>
                <w:szCs w:val="21"/>
              </w:rPr>
            </w:pPr>
            <w:r>
              <w:rPr>
                <w:rFonts w:hint="eastAsia" w:ascii="宋体" w:hAnsi="宋体"/>
                <w:szCs w:val="21"/>
              </w:rPr>
              <w:t>2、服务响应时间：对于服务请求，须在 20 分钟内响应；一般问题 8小时内解决；对于重大问题不能超过 48 小时解决且要求 4 小时内到现场服务。</w:t>
            </w:r>
          </w:p>
          <w:p>
            <w:pPr>
              <w:widowControl/>
              <w:shd w:val="clear" w:color="auto" w:fill="FFFFFF"/>
              <w:spacing w:line="360" w:lineRule="auto"/>
              <w:rPr>
                <w:rFonts w:ascii="宋体" w:hAnsi="宋体"/>
                <w:szCs w:val="21"/>
              </w:rPr>
            </w:pPr>
            <w:r>
              <w:rPr>
                <w:rFonts w:hint="eastAsia" w:ascii="宋体" w:hAnsi="宋体"/>
                <w:szCs w:val="21"/>
              </w:rPr>
              <w:t>七、其他要求：</w:t>
            </w:r>
          </w:p>
          <w:p>
            <w:pPr>
              <w:widowControl/>
              <w:shd w:val="clear" w:color="auto" w:fill="FFFFFF"/>
              <w:spacing w:line="360" w:lineRule="auto"/>
              <w:rPr>
                <w:rFonts w:ascii="宋体" w:hAnsi="宋体"/>
                <w:szCs w:val="21"/>
              </w:rPr>
            </w:pPr>
            <w:r>
              <w:rPr>
                <w:rFonts w:hint="eastAsia" w:ascii="宋体" w:hAnsi="宋体"/>
                <w:szCs w:val="21"/>
              </w:rPr>
              <w:t>1、投标报价为采购人指定地点的现场交货价，包括：</w:t>
            </w:r>
          </w:p>
          <w:p>
            <w:pPr>
              <w:widowControl/>
              <w:shd w:val="clear" w:color="auto" w:fill="FFFFFF"/>
              <w:spacing w:line="360" w:lineRule="auto"/>
              <w:rPr>
                <w:rFonts w:ascii="宋体" w:hAnsi="宋体"/>
                <w:szCs w:val="21"/>
              </w:rPr>
            </w:pPr>
            <w:r>
              <w:rPr>
                <w:rFonts w:hint="eastAsia" w:ascii="宋体" w:hAnsi="宋体"/>
                <w:szCs w:val="21"/>
              </w:rPr>
              <w:t>（1）货物的价格；</w:t>
            </w:r>
          </w:p>
          <w:p>
            <w:pPr>
              <w:widowControl/>
              <w:shd w:val="clear" w:color="auto" w:fill="FFFFFF"/>
              <w:spacing w:line="360" w:lineRule="auto"/>
              <w:rPr>
                <w:rFonts w:ascii="宋体" w:hAnsi="宋体"/>
                <w:szCs w:val="21"/>
              </w:rPr>
            </w:pPr>
            <w:r>
              <w:rPr>
                <w:rFonts w:hint="eastAsia" w:ascii="宋体" w:hAnsi="宋体"/>
                <w:szCs w:val="21"/>
              </w:rPr>
              <w:t>（2）货物的标准附件配件、备品备件、专用工具的价格；</w:t>
            </w:r>
          </w:p>
          <w:p>
            <w:pPr>
              <w:widowControl/>
              <w:shd w:val="clear" w:color="auto" w:fill="FFFFFF"/>
              <w:spacing w:line="360" w:lineRule="auto"/>
              <w:rPr>
                <w:rFonts w:ascii="宋体" w:hAnsi="宋体"/>
                <w:szCs w:val="21"/>
              </w:rPr>
            </w:pPr>
            <w:r>
              <w:rPr>
                <w:rFonts w:hint="eastAsia" w:ascii="宋体" w:hAnsi="宋体"/>
                <w:szCs w:val="21"/>
              </w:rPr>
              <w:t>（3）运输、装卸、搬运、技术支持、售后服务等费用；</w:t>
            </w:r>
          </w:p>
          <w:p>
            <w:pPr>
              <w:widowControl/>
              <w:shd w:val="clear" w:color="auto" w:fill="FFFFFF"/>
              <w:spacing w:line="360" w:lineRule="auto"/>
              <w:rPr>
                <w:rFonts w:ascii="宋体" w:hAnsi="宋体"/>
                <w:szCs w:val="21"/>
              </w:rPr>
            </w:pPr>
            <w:r>
              <w:rPr>
                <w:rFonts w:hint="eastAsia" w:ascii="宋体" w:hAnsi="宋体"/>
                <w:szCs w:val="21"/>
              </w:rPr>
              <w:t>（4）必要的保险费用和各项税费。</w:t>
            </w:r>
          </w:p>
          <w:p>
            <w:pPr>
              <w:pStyle w:val="4"/>
              <w:spacing w:line="360" w:lineRule="auto"/>
              <w:rPr>
                <w:rFonts w:ascii="宋体" w:hAnsi="宋体"/>
                <w:b/>
                <w:sz w:val="21"/>
                <w:szCs w:val="21"/>
              </w:rPr>
            </w:pPr>
            <w:r>
              <w:rPr>
                <w:rFonts w:hint="eastAsia" w:ascii="宋体" w:hAnsi="宋体"/>
                <w:sz w:val="21"/>
                <w:szCs w:val="21"/>
              </w:rPr>
              <w:t>2、付款方式：货物</w:t>
            </w:r>
            <w:r>
              <w:rPr>
                <w:rFonts w:hint="eastAsia" w:ascii="宋体" w:hAnsi="宋体"/>
                <w:sz w:val="21"/>
                <w:szCs w:val="21"/>
                <w:lang w:val="en-US" w:eastAsia="zh-CN"/>
              </w:rPr>
              <w:t>交货完毕并经采购人</w:t>
            </w:r>
            <w:r>
              <w:rPr>
                <w:rFonts w:hint="eastAsia" w:ascii="宋体" w:hAnsi="宋体"/>
                <w:sz w:val="21"/>
                <w:szCs w:val="21"/>
              </w:rPr>
              <w:t>验收合格后，采购人</w:t>
            </w:r>
            <w:r>
              <w:rPr>
                <w:rFonts w:hint="eastAsia" w:ascii="宋体" w:hAnsi="宋体"/>
                <w:sz w:val="21"/>
                <w:szCs w:val="21"/>
                <w:lang w:val="en-US" w:eastAsia="zh-CN"/>
              </w:rPr>
              <w:t>一次性支付合同款</w:t>
            </w:r>
            <w:r>
              <w:rPr>
                <w:rFonts w:hint="eastAsia" w:ascii="宋体" w:hAnsi="宋体"/>
                <w:sz w:val="21"/>
                <w:szCs w:val="21"/>
              </w:rPr>
              <w:t>（付款前中标人需开具等额合规的增值税发票）。</w:t>
            </w:r>
          </w:p>
          <w:p>
            <w:pPr>
              <w:pStyle w:val="4"/>
              <w:rPr>
                <w:rFonts w:ascii="宋体" w:hAnsi="宋体"/>
                <w:b/>
                <w:sz w:val="21"/>
                <w:szCs w:val="21"/>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6E13694"/>
    <w:rsid w:val="66E136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autoRedefine/>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footer"/>
    <w:basedOn w:val="1"/>
    <w:unhideWhenUsed/>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2024-01-05T03:29:00Z</dcterms:created>
  <dc:creator>WPS</dc:creator>
  <cp:lastModifiedBy>WPS</cp:lastModifiedBy>
  <dcterms:modified xsi:type="dcterms:W3CDTF">2024-01-05T03:29:30Z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A919D539E83049F1B5758B09FDF33E86_11</vt:lpwstr>
  </property>
</Properties>
</file>