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bookmarkStart w:id="0" w:name="_Toc27988011"/>
      <w:r>
        <w:rPr>
          <w:rFonts w:hint="eastAsia" w:asciiTheme="minorEastAsia" w:hAnsiTheme="minorEastAsia"/>
          <w:sz w:val="28"/>
          <w:szCs w:val="28"/>
        </w:rPr>
        <w:t>附件1：</w:t>
      </w:r>
      <w:bookmarkStart w:id="1" w:name="_GoBack"/>
      <w:bookmarkEnd w:id="1"/>
    </w:p>
    <w:bookmarkEnd w:id="0"/>
    <w:p>
      <w:pPr>
        <w:pStyle w:val="4"/>
        <w:jc w:val="center"/>
        <w:outlineLvl w:val="0"/>
        <w:rPr>
          <w:rFonts w:ascii="Times New Roman" w:hAnsi="Times New Roman"/>
          <w:b/>
          <w:sz w:val="36"/>
        </w:rPr>
      </w:pPr>
      <w:r>
        <w:rPr>
          <w:rFonts w:hint="eastAsia" w:ascii="Times New Roman" w:hAnsi="Times New Roman"/>
          <w:b/>
          <w:sz w:val="36"/>
        </w:rPr>
        <w:t>采购需求一览表</w:t>
      </w:r>
    </w:p>
    <w:p>
      <w:pPr>
        <w:pStyle w:val="4"/>
        <w:ind w:left="632" w:hanging="632" w:hangingChars="300"/>
        <w:rPr>
          <w:b/>
        </w:rPr>
      </w:pPr>
      <w:r>
        <w:rPr>
          <w:rFonts w:hint="eastAsia"/>
          <w:b/>
        </w:rPr>
        <w:t>说明：本采购需求一览表中标注</w:t>
      </w:r>
      <w:r>
        <w:rPr>
          <w:rFonts w:hint="eastAsia"/>
          <w:lang w:val="en-US" w:eastAsia="zh-CN"/>
        </w:rPr>
        <w:t>▲</w:t>
      </w:r>
      <w:r>
        <w:rPr>
          <w:rFonts w:hint="eastAsia"/>
          <w:b/>
        </w:rPr>
        <w:t>号的内容为实质性要求和条件，响应人必须满足或优于，不满足或负偏离视为无效响应。</w:t>
      </w:r>
    </w:p>
    <w:tbl>
      <w:tblPr>
        <w:tblStyle w:val="5"/>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076"/>
        <w:gridCol w:w="724"/>
        <w:gridCol w:w="758"/>
        <w:gridCol w:w="618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076"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758"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6184"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8" w:hRule="exac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076"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highlight w:val="none"/>
                <w:lang w:val="en-US"/>
              </w:rPr>
            </w:pPr>
            <w:r>
              <w:rPr>
                <w:rFonts w:hint="eastAsia" w:ascii="宋体" w:cs="Times New Roman"/>
                <w:highlight w:val="none"/>
              </w:rPr>
              <w:t>南宁中心血站</w:t>
            </w:r>
            <w:r>
              <w:rPr>
                <w:rFonts w:hint="eastAsia" w:ascii="宋体" w:cs="Times New Roman"/>
                <w:highlight w:val="none"/>
                <w:lang w:val="en-US" w:eastAsia="zh-CN"/>
              </w:rPr>
              <w:t>2024年仓库租赁服务</w:t>
            </w:r>
          </w:p>
        </w:tc>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highlight w:val="none"/>
              </w:rPr>
            </w:pPr>
            <w:r>
              <w:rPr>
                <w:rFonts w:hint="eastAsia" w:ascii="宋体" w:hAnsi="宋体" w:cs="宋体"/>
                <w:highlight w:val="none"/>
              </w:rPr>
              <w:t>1项</w:t>
            </w:r>
          </w:p>
        </w:tc>
        <w:tc>
          <w:tcPr>
            <w:tcW w:w="758"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highlight w:val="none"/>
              </w:rPr>
            </w:pPr>
            <w:r>
              <w:rPr>
                <w:rFonts w:hint="eastAsia" w:ascii="宋体" w:hAnsi="宋体" w:cs="宋体"/>
                <w:highlight w:val="none"/>
                <w:lang w:val="en-US" w:eastAsia="zh-CN"/>
              </w:rPr>
              <w:t>6万</w:t>
            </w:r>
            <w:r>
              <w:rPr>
                <w:rFonts w:hint="eastAsia" w:ascii="宋体" w:hAnsi="宋体" w:cs="宋体"/>
                <w:highlight w:val="none"/>
              </w:rPr>
              <w:t>元</w:t>
            </w:r>
          </w:p>
        </w:tc>
        <w:tc>
          <w:tcPr>
            <w:tcW w:w="6184" w:type="dxa"/>
            <w:tcBorders>
              <w:top w:val="single" w:color="auto" w:sz="4" w:space="0"/>
              <w:left w:val="single" w:color="auto" w:sz="4" w:space="0"/>
              <w:bottom w:val="single" w:color="auto" w:sz="4" w:space="0"/>
            </w:tcBorders>
            <w:vAlign w:val="center"/>
          </w:tcPr>
          <w:p>
            <w:pPr>
              <w:pStyle w:val="2"/>
              <w:numPr>
                <w:ilvl w:val="0"/>
                <w:numId w:val="0"/>
              </w:numPr>
              <w:rPr>
                <w:rFonts w:hint="default"/>
                <w:highlight w:val="none"/>
                <w:lang w:val="en-US" w:eastAsia="zh-CN"/>
              </w:rPr>
            </w:pPr>
            <w:r>
              <w:rPr>
                <w:rFonts w:hint="default"/>
                <w:highlight w:val="none"/>
                <w:lang w:val="en-US" w:eastAsia="zh-CN"/>
              </w:rPr>
              <w:t>一、项目概况</w:t>
            </w:r>
            <w:r>
              <w:rPr>
                <w:rFonts w:hint="eastAsia"/>
                <w:highlight w:val="none"/>
                <w:lang w:val="en-US" w:eastAsia="zh-CN"/>
              </w:rPr>
              <w:t>：</w:t>
            </w:r>
          </w:p>
          <w:p>
            <w:pPr>
              <w:pStyle w:val="2"/>
              <w:numPr>
                <w:ilvl w:val="0"/>
                <w:numId w:val="0"/>
              </w:numPr>
              <w:ind w:firstLine="420" w:firstLineChars="200"/>
              <w:rPr>
                <w:rFonts w:hint="eastAsia"/>
                <w:highlight w:val="none"/>
                <w:lang w:val="en-US" w:eastAsia="zh-CN"/>
              </w:rPr>
            </w:pPr>
            <w:r>
              <w:rPr>
                <w:rFonts w:hint="eastAsia"/>
                <w:highlight w:val="none"/>
                <w:lang w:val="en-US" w:eastAsia="zh-CN"/>
              </w:rPr>
              <w:t>为满足采供血业务需求，南宁中心血站拟采购第三方提供仓库租赁服务，用于存放采购人待报废设备等，预计租期1年。</w:t>
            </w:r>
          </w:p>
          <w:p>
            <w:pPr>
              <w:pStyle w:val="2"/>
              <w:numPr>
                <w:ilvl w:val="0"/>
                <w:numId w:val="0"/>
              </w:numPr>
              <w:rPr>
                <w:rFonts w:hint="eastAsia"/>
                <w:highlight w:val="none"/>
                <w:lang w:val="en-US" w:eastAsia="zh-CN"/>
              </w:rPr>
            </w:pPr>
            <w:r>
              <w:rPr>
                <w:rFonts w:hint="eastAsia"/>
                <w:highlight w:val="none"/>
                <w:lang w:val="en-US" w:eastAsia="zh-CN"/>
              </w:rPr>
              <w:t>▲二、服务要求：</w:t>
            </w:r>
          </w:p>
          <w:p>
            <w:pPr>
              <w:pStyle w:val="2"/>
              <w:numPr>
                <w:ilvl w:val="0"/>
                <w:numId w:val="0"/>
              </w:numPr>
              <w:rPr>
                <w:rFonts w:hint="eastAsia"/>
                <w:highlight w:val="none"/>
                <w:lang w:val="en-US" w:eastAsia="zh-CN"/>
              </w:rPr>
            </w:pPr>
            <w:r>
              <w:rPr>
                <w:rFonts w:hint="eastAsia"/>
                <w:highlight w:val="none"/>
                <w:lang w:val="en-US" w:eastAsia="zh-CN"/>
              </w:rPr>
              <w:t>1、仓库面积在100-180平方米之间，层高不低于2.5米，楼面承载力≥1.0吨/平方米。</w:t>
            </w:r>
          </w:p>
          <w:p>
            <w:pPr>
              <w:pStyle w:val="2"/>
              <w:numPr>
                <w:ilvl w:val="0"/>
                <w:numId w:val="0"/>
              </w:numPr>
              <w:rPr>
                <w:rFonts w:hint="eastAsia"/>
                <w:highlight w:val="none"/>
                <w:lang w:val="en-US" w:eastAsia="zh-CN"/>
              </w:rPr>
            </w:pPr>
            <w:r>
              <w:rPr>
                <w:rFonts w:hint="eastAsia"/>
                <w:highlight w:val="none"/>
                <w:lang w:val="en-US" w:eastAsia="zh-CN"/>
              </w:rPr>
              <w:t>2、要求仓库位于科园大道18号南宁中心血站直线距离4公里范围内，且交通便利、大车能进。</w:t>
            </w:r>
          </w:p>
          <w:p>
            <w:pPr>
              <w:pStyle w:val="2"/>
              <w:numPr>
                <w:ilvl w:val="0"/>
                <w:numId w:val="0"/>
              </w:numPr>
              <w:rPr>
                <w:rFonts w:hint="default"/>
                <w:highlight w:val="none"/>
                <w:lang w:val="en-US" w:eastAsia="zh-CN"/>
              </w:rPr>
            </w:pPr>
            <w:r>
              <w:rPr>
                <w:rFonts w:hint="eastAsia"/>
                <w:highlight w:val="none"/>
                <w:lang w:val="en-US" w:eastAsia="zh-CN"/>
              </w:rPr>
              <w:t>3、仓库应具备仓库通风、防潮，基本的安全措施，如防火、防盗系统，以及必要的保安服务。若位于非地面1楼仓库须有升降货梯。</w:t>
            </w:r>
          </w:p>
          <w:p>
            <w:pPr>
              <w:pStyle w:val="2"/>
              <w:numPr>
                <w:ilvl w:val="0"/>
                <w:numId w:val="0"/>
              </w:numPr>
              <w:rPr>
                <w:rFonts w:hint="default"/>
                <w:highlight w:val="none"/>
                <w:lang w:val="en-US" w:eastAsia="zh-CN"/>
              </w:rPr>
            </w:pPr>
            <w:r>
              <w:rPr>
                <w:rFonts w:hint="eastAsia"/>
                <w:highlight w:val="none"/>
                <w:lang w:val="en-US" w:eastAsia="zh-CN"/>
              </w:rPr>
              <w:t>4、要求仓库产权清晰，无任何经济纠纷，</w:t>
            </w:r>
            <w:r>
              <w:rPr>
                <w:rFonts w:hint="eastAsia"/>
                <w:b/>
                <w:bCs/>
                <w:highlight w:val="none"/>
                <w:lang w:val="en-US" w:eastAsia="zh-CN"/>
              </w:rPr>
              <w:t>响应文件中须提供仓库产权证明或其他相关证明材料及仓库实体图片</w:t>
            </w:r>
            <w:r>
              <w:rPr>
                <w:rFonts w:hint="eastAsia"/>
                <w:highlight w:val="none"/>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spacing w:line="360" w:lineRule="auto"/>
              <w:rPr>
                <w:rFonts w:hint="eastAsia" w:ascii="宋体" w:hAnsi="宋体" w:eastAsia="宋体" w:cs="宋体"/>
                <w:szCs w:val="21"/>
                <w:highlight w:val="none"/>
              </w:rPr>
            </w:pPr>
            <w:r>
              <w:rPr>
                <w:rFonts w:hint="eastAsia" w:ascii="宋体" w:hAnsi="宋体" w:eastAsia="宋体" w:cs="宋体"/>
                <w:szCs w:val="21"/>
                <w:highlight w:val="none"/>
                <w:lang w:val="en-US" w:eastAsia="zh-CN"/>
              </w:rPr>
              <w:t>一、</w:t>
            </w:r>
            <w:r>
              <w:rPr>
                <w:rFonts w:hint="eastAsia" w:ascii="宋体" w:hAnsi="宋体" w:eastAsia="宋体" w:cs="宋体"/>
                <w:szCs w:val="21"/>
                <w:highlight w:val="none"/>
              </w:rPr>
              <w:t>合同签订期:自采购结果公示结束后7个工作日内。</w:t>
            </w:r>
          </w:p>
          <w:p>
            <w:pPr>
              <w:spacing w:line="360" w:lineRule="auto"/>
              <w:rPr>
                <w:rFonts w:hint="eastAsia" w:ascii="宋体" w:hAnsi="宋体" w:eastAsia="宋体" w:cs="宋体"/>
                <w:szCs w:val="21"/>
                <w:highlight w:val="none"/>
              </w:rPr>
            </w:pPr>
            <w:r>
              <w:rPr>
                <w:rFonts w:hint="eastAsia"/>
                <w:highlight w:val="none"/>
                <w:lang w:val="en-US" w:eastAsia="zh-CN"/>
              </w:rPr>
              <w:t>▲</w:t>
            </w:r>
            <w:r>
              <w:rPr>
                <w:rFonts w:hint="eastAsia" w:ascii="宋体" w:hAnsi="宋体" w:eastAsia="宋体" w:cs="宋体"/>
                <w:szCs w:val="21"/>
                <w:highlight w:val="none"/>
                <w:lang w:val="en-US" w:eastAsia="zh-CN"/>
              </w:rPr>
              <w:t>二、租赁</w:t>
            </w:r>
            <w:r>
              <w:rPr>
                <w:rFonts w:hint="eastAsia" w:ascii="宋体" w:hAnsi="宋体" w:eastAsia="宋体" w:cs="宋体"/>
                <w:szCs w:val="21"/>
                <w:highlight w:val="none"/>
              </w:rPr>
              <w:t>期限:</w:t>
            </w:r>
            <w:r>
              <w:rPr>
                <w:rFonts w:hint="eastAsia" w:ascii="宋体" w:hAnsi="宋体" w:eastAsia="宋体" w:cs="宋体"/>
                <w:szCs w:val="21"/>
                <w:highlight w:val="none"/>
                <w:lang w:val="en-US" w:eastAsia="zh-CN"/>
              </w:rPr>
              <w:t>合同签订之日起5日内交付使用，租赁</w:t>
            </w:r>
            <w:r>
              <w:rPr>
                <w:rFonts w:hint="eastAsia" w:ascii="宋体" w:hAnsi="宋体" w:eastAsia="宋体" w:cs="宋体"/>
                <w:szCs w:val="21"/>
                <w:highlight w:val="none"/>
              </w:rPr>
              <w:t>期限</w:t>
            </w:r>
            <w:r>
              <w:rPr>
                <w:rFonts w:hint="eastAsia" w:ascii="宋体" w:hAnsi="宋体" w:eastAsia="宋体" w:cs="宋体"/>
                <w:szCs w:val="21"/>
                <w:highlight w:val="none"/>
                <w:lang w:val="en-US" w:eastAsia="zh-CN"/>
              </w:rPr>
              <w:t>自交付使用之日起1年内</w:t>
            </w:r>
            <w:r>
              <w:rPr>
                <w:rFonts w:hint="eastAsia" w:ascii="宋体" w:hAnsi="宋体" w:eastAsia="宋体" w:cs="宋体"/>
                <w:szCs w:val="21"/>
                <w:highlight w:val="none"/>
              </w:rPr>
              <w:t>。</w:t>
            </w:r>
          </w:p>
          <w:p>
            <w:pPr>
              <w:spacing w:line="360" w:lineRule="auto"/>
              <w:rPr>
                <w:rFonts w:hint="eastAsia" w:ascii="宋体" w:hAnsi="宋体" w:eastAsia="宋体" w:cs="宋体"/>
                <w:szCs w:val="21"/>
                <w:highlight w:val="none"/>
              </w:rPr>
            </w:pPr>
            <w:r>
              <w:rPr>
                <w:rFonts w:hint="eastAsia" w:ascii="宋体" w:hAnsi="宋体" w:eastAsia="宋体" w:cs="宋体"/>
                <w:szCs w:val="21"/>
                <w:highlight w:val="none"/>
                <w:lang w:val="en-US" w:eastAsia="zh-CN"/>
              </w:rPr>
              <w:t>三、</w:t>
            </w:r>
            <w:r>
              <w:rPr>
                <w:rFonts w:hint="eastAsia" w:ascii="宋体" w:hAnsi="宋体"/>
                <w:szCs w:val="21"/>
                <w:highlight w:val="none"/>
              </w:rPr>
              <w:t>服务地点</w:t>
            </w:r>
            <w:r>
              <w:rPr>
                <w:rFonts w:hint="eastAsia" w:ascii="宋体" w:hAnsi="宋体" w:eastAsia="宋体" w:cs="宋体"/>
                <w:szCs w:val="21"/>
                <w:highlight w:val="none"/>
              </w:rPr>
              <w:t>:南宁中心血站指定地点。</w:t>
            </w:r>
          </w:p>
          <w:p>
            <w:p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rPr>
              <w:t>四、售后服务要求:处理问题响应时间必须提供 7</w:t>
            </w:r>
            <w:r>
              <w:rPr>
                <w:rFonts w:hint="eastAsia" w:ascii="宋体" w:hAnsi="宋体" w:eastAsia="宋体" w:cs="宋体"/>
                <w:szCs w:val="21"/>
                <w:highlight w:val="none"/>
                <w:lang w:val="en-US" w:eastAsia="zh-CN"/>
              </w:rPr>
              <w:t>*</w:t>
            </w:r>
            <w:r>
              <w:rPr>
                <w:rFonts w:hint="eastAsia" w:ascii="宋体" w:hAnsi="宋体" w:eastAsia="宋体" w:cs="宋体"/>
                <w:szCs w:val="21"/>
                <w:highlight w:val="none"/>
              </w:rPr>
              <w:t>24 小时费电话技术支持(开通24 小时电话服务热线)</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并</w:t>
            </w:r>
            <w:r>
              <w:rPr>
                <w:rFonts w:hint="eastAsia" w:ascii="宋体" w:hAnsi="宋体" w:eastAsia="宋体" w:cs="宋体"/>
                <w:szCs w:val="21"/>
                <w:highlight w:val="none"/>
              </w:rPr>
              <w:t>包括邮件、远程维护、现场服务等方式。</w:t>
            </w:r>
          </w:p>
          <w:p>
            <w:pPr>
              <w:spacing w:line="360" w:lineRule="auto"/>
              <w:rPr>
                <w:rFonts w:hint="eastAsia" w:ascii="宋体" w:hAnsi="宋体" w:eastAsia="宋体" w:cs="宋体"/>
                <w:szCs w:val="21"/>
                <w:highlight w:val="none"/>
              </w:rPr>
            </w:pPr>
            <w:r>
              <w:rPr>
                <w:rFonts w:hint="eastAsia" w:ascii="宋体" w:hAnsi="宋体" w:eastAsia="宋体" w:cs="宋体"/>
                <w:szCs w:val="21"/>
                <w:highlight w:val="none"/>
                <w:lang w:val="en-US" w:eastAsia="zh-CN"/>
              </w:rPr>
              <w:t>五、</w:t>
            </w:r>
            <w:r>
              <w:rPr>
                <w:rFonts w:hint="eastAsia" w:ascii="宋体" w:hAnsi="宋体" w:eastAsia="宋体" w:cs="宋体"/>
                <w:szCs w:val="21"/>
                <w:highlight w:val="none"/>
              </w:rPr>
              <w:t>其他要求:</w:t>
            </w:r>
          </w:p>
          <w:p>
            <w:pPr>
              <w:spacing w:line="360" w:lineRule="auto"/>
              <w:rPr>
                <w:rFonts w:hint="eastAsia" w:ascii="宋体" w:hAnsi="宋体" w:eastAsia="宋体" w:cs="宋体"/>
                <w:szCs w:val="21"/>
                <w:highlight w:val="none"/>
              </w:rPr>
            </w:pPr>
            <w:r>
              <w:rPr>
                <w:rFonts w:hint="eastAsia"/>
                <w:highlight w:val="none"/>
                <w:lang w:val="en-US" w:eastAsia="zh-CN"/>
              </w:rPr>
              <w:t>▲</w:t>
            </w:r>
            <w:r>
              <w:rPr>
                <w:rFonts w:hint="eastAsia" w:ascii="宋体" w:hAnsi="宋体" w:eastAsia="宋体" w:cs="宋体"/>
                <w:szCs w:val="21"/>
                <w:highlight w:val="none"/>
              </w:rPr>
              <w:t>1、本项目报价为总价包干，报价包含但不限于以下内容：</w:t>
            </w:r>
          </w:p>
          <w:p>
            <w:pPr>
              <w:numPr>
                <w:ilvl w:val="-1"/>
                <w:numId w:val="0"/>
              </w:num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（1）</w:t>
            </w:r>
            <w:r>
              <w:rPr>
                <w:rFonts w:hint="eastAsia" w:ascii="宋体" w:hAnsi="宋体" w:eastAsia="宋体" w:cs="宋体"/>
                <w:szCs w:val="21"/>
                <w:highlight w:val="none"/>
                <w:lang w:val="en-US" w:eastAsia="zh-CN"/>
              </w:rPr>
              <w:t>仓库租赁费及相关</w:t>
            </w:r>
            <w:r>
              <w:rPr>
                <w:rFonts w:hint="eastAsia" w:ascii="宋体" w:hAnsi="宋体" w:eastAsia="宋体" w:cs="宋体"/>
                <w:szCs w:val="21"/>
                <w:highlight w:val="none"/>
                <w:lang w:eastAsia="zh-CN"/>
              </w:rPr>
              <w:t>服务的价格；</w:t>
            </w:r>
          </w:p>
          <w:p>
            <w:pPr>
              <w:numPr>
                <w:ilvl w:val="-1"/>
                <w:numId w:val="0"/>
              </w:num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（2）必要的保险费用和各项税金；</w:t>
            </w:r>
          </w:p>
          <w:p>
            <w:pPr>
              <w:numPr>
                <w:ilvl w:val="-1"/>
                <w:numId w:val="0"/>
              </w:num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w:t>
            </w:r>
            <w:r>
              <w:rPr>
                <w:rFonts w:hint="eastAsia" w:ascii="宋体" w:hAnsi="宋体" w:eastAsia="宋体" w:cs="宋体"/>
                <w:szCs w:val="21"/>
                <w:highlight w:val="none"/>
                <w:lang w:val="en-US" w:eastAsia="zh-CN"/>
              </w:rPr>
              <w:t>人工费、水电费、物业管理费等费用</w:t>
            </w:r>
            <w:r>
              <w:rPr>
                <w:rFonts w:hint="eastAsia" w:ascii="宋体" w:hAnsi="宋体" w:eastAsia="宋体" w:cs="宋体"/>
                <w:szCs w:val="21"/>
                <w:highlight w:val="none"/>
                <w:lang w:eastAsia="zh-CN"/>
              </w:rPr>
              <w:t>。</w:t>
            </w:r>
          </w:p>
          <w:p>
            <w:pPr>
              <w:numPr>
                <w:ilvl w:val="-1"/>
                <w:numId w:val="0"/>
              </w:num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rPr>
              <w:t>2、</w:t>
            </w:r>
            <w:r>
              <w:rPr>
                <w:rFonts w:hint="eastAsia" w:ascii="宋体" w:hAnsi="宋体" w:cs="宋体"/>
                <w:color w:val="auto"/>
                <w:szCs w:val="21"/>
                <w:highlight w:val="none"/>
              </w:rPr>
              <w:t>付款方式</w:t>
            </w:r>
            <w:r>
              <w:rPr>
                <w:rFonts w:hint="eastAsia" w:ascii="宋体" w:hAnsi="宋体" w:cs="宋体"/>
                <w:color w:val="auto"/>
                <w:szCs w:val="21"/>
                <w:highlight w:val="none"/>
                <w:lang w:eastAsia="zh-CN"/>
              </w:rPr>
              <w:t>：</w:t>
            </w:r>
            <w:r>
              <w:rPr>
                <w:rFonts w:hint="eastAsia" w:ascii="宋体" w:hAnsi="宋体" w:eastAsia="宋体" w:cs="宋体"/>
                <w:szCs w:val="21"/>
                <w:highlight w:val="none"/>
              </w:rPr>
              <w:t>签订合同之日起</w:t>
            </w:r>
            <w:r>
              <w:rPr>
                <w:rFonts w:hint="eastAsia" w:ascii="宋体" w:hAnsi="宋体" w:eastAsia="宋体" w:cs="宋体"/>
                <w:szCs w:val="21"/>
                <w:highlight w:val="none"/>
                <w:lang w:val="en-US" w:eastAsia="zh-CN"/>
              </w:rPr>
              <w:t>10</w:t>
            </w:r>
            <w:r>
              <w:rPr>
                <w:rFonts w:hint="eastAsia" w:ascii="宋体" w:hAnsi="宋体" w:eastAsia="宋体" w:cs="宋体"/>
                <w:szCs w:val="21"/>
                <w:highlight w:val="none"/>
              </w:rPr>
              <w:t>个</w:t>
            </w:r>
            <w:r>
              <w:rPr>
                <w:rFonts w:hint="eastAsia" w:ascii="宋体" w:hAnsi="宋体" w:eastAsia="宋体" w:cs="宋体"/>
                <w:szCs w:val="21"/>
                <w:highlight w:val="none"/>
                <w:lang w:val="en-US" w:eastAsia="zh-CN"/>
              </w:rPr>
              <w:t>工作日</w:t>
            </w:r>
            <w:r>
              <w:rPr>
                <w:rFonts w:hint="eastAsia" w:ascii="宋体" w:hAnsi="宋体" w:eastAsia="宋体" w:cs="宋体"/>
                <w:szCs w:val="21"/>
                <w:highlight w:val="none"/>
              </w:rPr>
              <w:t xml:space="preserve">内支付 </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0%合同款，服务履约半年并采购人确认后支付50%合同款</w:t>
            </w:r>
            <w:r>
              <w:rPr>
                <w:rFonts w:hint="eastAsia" w:ascii="宋体" w:hAnsi="宋体" w:eastAsia="宋体" w:cs="宋体"/>
                <w:szCs w:val="21"/>
                <w:highlight w:val="none"/>
                <w:lang w:eastAsia="zh-CN"/>
              </w:rPr>
              <w:t>。</w:t>
            </w:r>
            <w:r>
              <w:rPr>
                <w:rFonts w:hint="eastAsia" w:ascii="宋体" w:hAnsi="宋体" w:eastAsia="宋体" w:cs="宋体"/>
                <w:szCs w:val="21"/>
                <w:highlight w:val="none"/>
              </w:rPr>
              <w:t>（付款前成交供应商须提供等额合规的增值税普通发票）</w:t>
            </w:r>
          </w:p>
          <w:p>
            <w:pPr>
              <w:spacing w:line="360" w:lineRule="auto"/>
              <w:rPr>
                <w:highlight w:val="none"/>
              </w:rPr>
            </w:pPr>
            <w:r>
              <w:rPr>
                <w:rFonts w:hint="eastAsia"/>
                <w:highlight w:val="none"/>
                <w:lang w:val="en-US" w:eastAsia="zh-CN"/>
              </w:rPr>
              <w:t>▲</w:t>
            </w:r>
            <w:r>
              <w:rPr>
                <w:rFonts w:hint="eastAsia" w:ascii="宋体" w:hAnsi="宋体" w:eastAsia="宋体" w:cs="宋体"/>
                <w:szCs w:val="21"/>
                <w:highlight w:val="none"/>
              </w:rPr>
              <w:t>3、成交供应商未按采购公告中《采购项目需求一览表》中的内容提供服务或服务未达标准的采购人可解除本合同。</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68D55AC"/>
    <w:rsid w:val="768D55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2024-01-17T09:09:00Z</dcterms:created>
  <dc:creator>WPS</dc:creator>
  <cp:lastModifiedBy>WPS</cp:lastModifiedBy>
  <dcterms:modified xsi:type="dcterms:W3CDTF">2024-01-17T09:10:15Z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9A8C6558332B486BA198FB6BA4A76418_11</vt:lpwstr>
  </property>
</Properties>
</file>