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pPr>
        <w:pStyle w:val="4"/>
        <w:spacing w:line="500" w:lineRule="exact"/>
        <w:jc w:val="center"/>
        <w:rPr>
          <w:rFonts w:hAnsi="宋体"/>
          <w:b/>
          <w:bCs/>
          <w:sz w:val="30"/>
          <w:szCs w:val="30"/>
        </w:rPr>
      </w:pPr>
      <w:r>
        <w:rPr>
          <w:rFonts w:hint="eastAsia" w:hAnsi="宋体"/>
          <w:b/>
          <w:bCs/>
          <w:sz w:val="30"/>
          <w:szCs w:val="30"/>
        </w:rPr>
        <w:t>响应技术资料表</w:t>
      </w:r>
      <w:bookmarkStart w:id="2" w:name="_GoBack"/>
      <w:bookmarkEnd w:id="2"/>
    </w:p>
    <w:p>
      <w:pPr>
        <w:pStyle w:val="4"/>
        <w:ind w:firstLine="210" w:firstLineChars="100"/>
        <w:rPr>
          <w:rFonts w:hAnsi="宋体"/>
        </w:rPr>
      </w:pPr>
    </w:p>
    <w:p>
      <w:pPr>
        <w:pStyle w:val="4"/>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4"/>
        <w:rPr>
          <w:rFonts w:hAnsi="宋体"/>
          <w:szCs w:val="21"/>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2"/>
        <w:gridCol w:w="660"/>
        <w:gridCol w:w="3909"/>
        <w:gridCol w:w="705"/>
        <w:gridCol w:w="2339"/>
        <w:gridCol w:w="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00" w:type="pct"/>
            <w:vMerge w:val="restart"/>
            <w:vAlign w:val="center"/>
          </w:tcPr>
          <w:p>
            <w:pPr>
              <w:pStyle w:val="4"/>
              <w:jc w:val="center"/>
              <w:rPr>
                <w:rFonts w:hAnsi="宋体"/>
                <w:spacing w:val="-20"/>
                <w:szCs w:val="21"/>
              </w:rPr>
            </w:pPr>
            <w:r>
              <w:rPr>
                <w:rFonts w:hint="eastAsia" w:hAnsi="宋体"/>
                <w:spacing w:val="-20"/>
                <w:szCs w:val="21"/>
              </w:rPr>
              <w:t>序号</w:t>
            </w:r>
          </w:p>
        </w:tc>
        <w:tc>
          <w:tcPr>
            <w:tcW w:w="2680" w:type="pct"/>
            <w:gridSpan w:val="2"/>
            <w:vAlign w:val="center"/>
          </w:tcPr>
          <w:p>
            <w:pPr>
              <w:jc w:val="center"/>
              <w:rPr>
                <w:rFonts w:ascii="宋体"/>
                <w:szCs w:val="21"/>
              </w:rPr>
            </w:pPr>
            <w:r>
              <w:rPr>
                <w:rFonts w:hint="eastAsia" w:ascii="宋体" w:hAnsi="宋体"/>
                <w:szCs w:val="21"/>
              </w:rPr>
              <w:t>采购文件需求</w:t>
            </w:r>
          </w:p>
        </w:tc>
        <w:tc>
          <w:tcPr>
            <w:tcW w:w="1786" w:type="pct"/>
            <w:gridSpan w:val="2"/>
            <w:vAlign w:val="center"/>
          </w:tcPr>
          <w:p>
            <w:pPr>
              <w:jc w:val="center"/>
              <w:rPr>
                <w:rFonts w:ascii="宋体"/>
                <w:szCs w:val="21"/>
              </w:rPr>
            </w:pPr>
            <w:r>
              <w:rPr>
                <w:rFonts w:hint="eastAsia" w:ascii="宋体" w:hAnsi="宋体"/>
                <w:szCs w:val="21"/>
              </w:rPr>
              <w:t>响应文件承诺</w:t>
            </w:r>
          </w:p>
        </w:tc>
        <w:tc>
          <w:tcPr>
            <w:tcW w:w="332" w:type="pct"/>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200" w:type="pct"/>
            <w:vMerge w:val="continue"/>
            <w:vAlign w:val="center"/>
          </w:tcPr>
          <w:p>
            <w:pPr>
              <w:pStyle w:val="4"/>
              <w:jc w:val="center"/>
              <w:rPr>
                <w:rFonts w:hAnsi="宋体"/>
                <w:spacing w:val="-20"/>
                <w:szCs w:val="21"/>
              </w:rPr>
            </w:pPr>
          </w:p>
        </w:tc>
        <w:tc>
          <w:tcPr>
            <w:tcW w:w="387" w:type="pct"/>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名称</w:t>
            </w:r>
          </w:p>
        </w:tc>
        <w:tc>
          <w:tcPr>
            <w:tcW w:w="2293" w:type="pct"/>
            <w:vAlign w:val="center"/>
          </w:tcPr>
          <w:p>
            <w:pPr>
              <w:jc w:val="center"/>
              <w:rPr>
                <w:rFonts w:ascii="宋体"/>
                <w:szCs w:val="21"/>
              </w:rPr>
            </w:pPr>
            <w:r>
              <w:rPr>
                <w:rFonts w:hint="eastAsia" w:ascii="宋体" w:hAnsi="宋体"/>
                <w:szCs w:val="21"/>
              </w:rPr>
              <w:t>采购内容及要求</w:t>
            </w:r>
          </w:p>
        </w:tc>
        <w:tc>
          <w:tcPr>
            <w:tcW w:w="413" w:type="pct"/>
            <w:vAlign w:val="center"/>
          </w:tcPr>
          <w:p>
            <w:pPr>
              <w:jc w:val="center"/>
              <w:rPr>
                <w:rFonts w:ascii="宋体"/>
                <w:szCs w:val="21"/>
              </w:rPr>
            </w:pPr>
            <w:r>
              <w:rPr>
                <w:rFonts w:hint="eastAsia" w:ascii="宋体" w:hAnsi="宋体"/>
                <w:szCs w:val="21"/>
                <w:lang w:val="en-US" w:eastAsia="zh-CN"/>
              </w:rPr>
              <w:t>服务</w:t>
            </w:r>
            <w:r>
              <w:rPr>
                <w:rFonts w:hint="eastAsia" w:ascii="宋体" w:hAnsi="宋体"/>
                <w:szCs w:val="21"/>
              </w:rPr>
              <w:t>名称</w:t>
            </w:r>
          </w:p>
        </w:tc>
        <w:tc>
          <w:tcPr>
            <w:tcW w:w="1372" w:type="pct"/>
            <w:vAlign w:val="center"/>
          </w:tcPr>
          <w:p>
            <w:pPr>
              <w:jc w:val="center"/>
              <w:rPr>
                <w:rFonts w:ascii="宋体"/>
                <w:szCs w:val="21"/>
              </w:rPr>
            </w:pPr>
            <w:r>
              <w:rPr>
                <w:rFonts w:hint="eastAsia" w:ascii="宋体" w:hAnsi="宋体"/>
                <w:szCs w:val="21"/>
              </w:rPr>
              <w:t>所提供</w:t>
            </w:r>
            <w:r>
              <w:rPr>
                <w:rFonts w:hint="eastAsia" w:ascii="宋体" w:hAnsi="宋体"/>
                <w:szCs w:val="21"/>
                <w:lang w:val="en-US" w:eastAsia="zh-CN"/>
              </w:rPr>
              <w:t>货物</w:t>
            </w:r>
            <w:r>
              <w:rPr>
                <w:rFonts w:hint="eastAsia" w:ascii="宋体" w:hAnsi="宋体"/>
                <w:szCs w:val="21"/>
              </w:rPr>
              <w:t>的内容</w:t>
            </w:r>
          </w:p>
        </w:tc>
        <w:tc>
          <w:tcPr>
            <w:tcW w:w="332" w:type="pct"/>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 w:type="pct"/>
            <w:vAlign w:val="center"/>
          </w:tcPr>
          <w:p>
            <w:pPr>
              <w:pStyle w:val="4"/>
              <w:jc w:val="center"/>
              <w:rPr>
                <w:rFonts w:hAnsi="宋体"/>
                <w:spacing w:val="-20"/>
                <w:szCs w:val="21"/>
              </w:rPr>
            </w:pPr>
            <w:r>
              <w:rPr>
                <w:rFonts w:hAnsi="宋体"/>
                <w:spacing w:val="-20"/>
                <w:szCs w:val="21"/>
              </w:rPr>
              <w:t>1</w:t>
            </w:r>
          </w:p>
        </w:tc>
        <w:tc>
          <w:tcPr>
            <w:tcW w:w="387" w:type="pct"/>
            <w:vAlign w:val="center"/>
          </w:tcPr>
          <w:p>
            <w:pPr>
              <w:rPr>
                <w:rFonts w:hAnsi="宋体"/>
                <w:szCs w:val="21"/>
              </w:rPr>
            </w:pPr>
            <w:r>
              <w:rPr>
                <w:rFonts w:hint="eastAsia" w:ascii="宋体" w:cs="Times New Roman"/>
                <w:lang w:val="en-US" w:eastAsia="zh-CN"/>
              </w:rPr>
              <w:t>南宁中心血站2024年仓库租赁服务</w:t>
            </w:r>
          </w:p>
        </w:tc>
        <w:tc>
          <w:tcPr>
            <w:tcW w:w="2293" w:type="pct"/>
            <w:vAlign w:val="center"/>
          </w:tcPr>
          <w:p>
            <w:pPr>
              <w:pStyle w:val="2"/>
              <w:rPr>
                <w:rFonts w:hint="eastAsia"/>
                <w:color w:val="auto"/>
                <w:kern w:val="0"/>
                <w:szCs w:val="21"/>
                <w:highlight w:val="none"/>
                <w:lang w:val="en-US" w:eastAsia="zh-CN"/>
              </w:rPr>
            </w:pPr>
            <w:r>
              <w:rPr>
                <w:rFonts w:hint="eastAsia"/>
                <w:color w:val="auto"/>
                <w:kern w:val="0"/>
                <w:szCs w:val="21"/>
                <w:highlight w:val="none"/>
                <w:lang w:val="en-US" w:eastAsia="zh-CN"/>
              </w:rPr>
              <w:t>一、项目概况：</w:t>
            </w:r>
          </w:p>
          <w:p>
            <w:pPr>
              <w:pStyle w:val="2"/>
              <w:rPr>
                <w:rFonts w:hint="eastAsia"/>
                <w:color w:val="auto"/>
                <w:kern w:val="0"/>
                <w:szCs w:val="21"/>
                <w:highlight w:val="none"/>
                <w:lang w:val="en-US" w:eastAsia="zh-CN"/>
              </w:rPr>
            </w:pPr>
            <w:r>
              <w:rPr>
                <w:rFonts w:hint="eastAsia"/>
                <w:color w:val="auto"/>
                <w:kern w:val="0"/>
                <w:szCs w:val="21"/>
                <w:highlight w:val="none"/>
                <w:lang w:val="en-US" w:eastAsia="zh-CN"/>
              </w:rPr>
              <w:t>为满足采供血业务需求，南宁中心血站拟采购第三方提供仓库租赁服务，用于存放采购人待报废设备等，预计租期1年。</w:t>
            </w:r>
          </w:p>
          <w:p>
            <w:pPr>
              <w:pStyle w:val="2"/>
              <w:rPr>
                <w:rFonts w:hint="eastAsia"/>
                <w:color w:val="auto"/>
                <w:kern w:val="0"/>
                <w:szCs w:val="21"/>
                <w:highlight w:val="none"/>
                <w:lang w:val="en-US" w:eastAsia="zh-CN"/>
              </w:rPr>
            </w:pPr>
            <w:r>
              <w:rPr>
                <w:rFonts w:hint="eastAsia"/>
                <w:color w:val="auto"/>
                <w:kern w:val="0"/>
                <w:szCs w:val="21"/>
                <w:highlight w:val="none"/>
                <w:lang w:val="en-US" w:eastAsia="zh-CN"/>
              </w:rPr>
              <w:t>▲二、服务要求：</w:t>
            </w:r>
          </w:p>
          <w:p>
            <w:pPr>
              <w:pStyle w:val="2"/>
              <w:rPr>
                <w:rFonts w:hint="eastAsia"/>
                <w:color w:val="auto"/>
                <w:kern w:val="0"/>
                <w:szCs w:val="21"/>
                <w:highlight w:val="none"/>
                <w:lang w:val="en-US" w:eastAsia="zh-CN"/>
              </w:rPr>
            </w:pPr>
            <w:r>
              <w:rPr>
                <w:rFonts w:hint="eastAsia"/>
                <w:color w:val="auto"/>
                <w:kern w:val="0"/>
                <w:szCs w:val="21"/>
                <w:highlight w:val="none"/>
                <w:lang w:val="en-US" w:eastAsia="zh-CN"/>
              </w:rPr>
              <w:t>1、仓库面积在100-180平方米之间，层高不低于2.5米，楼面承载力≥1.0吨/平方米。</w:t>
            </w:r>
          </w:p>
          <w:p>
            <w:pPr>
              <w:pStyle w:val="2"/>
              <w:rPr>
                <w:rFonts w:hint="eastAsia"/>
                <w:color w:val="auto"/>
                <w:kern w:val="0"/>
                <w:szCs w:val="21"/>
                <w:highlight w:val="none"/>
                <w:lang w:val="en-US" w:eastAsia="zh-CN"/>
              </w:rPr>
            </w:pPr>
            <w:r>
              <w:rPr>
                <w:rFonts w:hint="eastAsia"/>
                <w:color w:val="auto"/>
                <w:kern w:val="0"/>
                <w:szCs w:val="21"/>
                <w:highlight w:val="none"/>
                <w:lang w:val="en-US" w:eastAsia="zh-CN"/>
              </w:rPr>
              <w:t>2、要求仓库位于科园大道18号南宁中心血站直线距离4公里范围内，且交通便利、大车能进。</w:t>
            </w:r>
          </w:p>
          <w:p>
            <w:pPr>
              <w:pStyle w:val="2"/>
              <w:rPr>
                <w:rFonts w:hint="eastAsia"/>
                <w:color w:val="auto"/>
                <w:kern w:val="0"/>
                <w:szCs w:val="21"/>
                <w:highlight w:val="none"/>
                <w:lang w:val="en-US" w:eastAsia="zh-CN"/>
              </w:rPr>
            </w:pPr>
            <w:r>
              <w:rPr>
                <w:rFonts w:hint="eastAsia"/>
                <w:color w:val="auto"/>
                <w:kern w:val="0"/>
                <w:szCs w:val="21"/>
                <w:highlight w:val="none"/>
                <w:lang w:val="en-US" w:eastAsia="zh-CN"/>
              </w:rPr>
              <w:t>3、仓库应具备仓库通风、防潮，基本的安全措施，如防火、防盗系统，以及必要的保安服务。若位于非地面1楼仓库须有升降货梯。</w:t>
            </w:r>
          </w:p>
          <w:p>
            <w:pPr>
              <w:pStyle w:val="2"/>
            </w:pPr>
            <w:r>
              <w:rPr>
                <w:rFonts w:hint="eastAsia"/>
                <w:color w:val="auto"/>
                <w:kern w:val="0"/>
                <w:szCs w:val="21"/>
                <w:highlight w:val="none"/>
                <w:lang w:val="en-US" w:eastAsia="zh-CN"/>
              </w:rPr>
              <w:t>4、要求仓库产权清晰，无任何经济纠纷，响应文件中须提供仓库产权证明或其他相关证明材料及仓库实体图片。</w:t>
            </w:r>
          </w:p>
        </w:tc>
        <w:tc>
          <w:tcPr>
            <w:tcW w:w="413" w:type="pct"/>
            <w:vAlign w:val="center"/>
          </w:tcPr>
          <w:p>
            <w:pPr>
              <w:rPr>
                <w:rFonts w:hAnsi="宋体"/>
                <w:szCs w:val="21"/>
              </w:rPr>
            </w:pPr>
            <w:r>
              <w:rPr>
                <w:rFonts w:hint="eastAsia" w:ascii="宋体" w:cs="Times New Roman"/>
                <w:lang w:val="en-US" w:eastAsia="zh-CN"/>
              </w:rPr>
              <w:t>南宁中心血站2024年仓库租赁服务</w:t>
            </w:r>
          </w:p>
        </w:tc>
        <w:tc>
          <w:tcPr>
            <w:tcW w:w="1372" w:type="pct"/>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332" w:type="pct"/>
            <w:vAlign w:val="center"/>
          </w:tcPr>
          <w:p>
            <w:pPr>
              <w:rPr>
                <w:rFonts w:ascii="宋体" w:hAnsi="宋体"/>
                <w:szCs w:val="21"/>
              </w:rPr>
            </w:pPr>
            <w:r>
              <w:rPr>
                <w:rFonts w:ascii="宋体" w:hAnsi="宋体"/>
                <w:szCs w:val="21"/>
              </w:rPr>
              <w:t>正偏离（负偏离或无偏离）</w:t>
            </w:r>
          </w:p>
        </w:tc>
      </w:tr>
    </w:tbl>
    <w:p>
      <w:pPr>
        <w:pStyle w:val="4"/>
        <w:rPr>
          <w:rFonts w:hAnsi="宋体"/>
          <w:szCs w:val="21"/>
        </w:rPr>
      </w:pPr>
    </w:p>
    <w:p>
      <w:pPr>
        <w:pStyle w:val="4"/>
        <w:rPr>
          <w:rFonts w:hAnsi="宋体"/>
          <w:szCs w:val="21"/>
        </w:rPr>
      </w:pPr>
    </w:p>
    <w:p>
      <w:pPr>
        <w:pStyle w:val="4"/>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4"/>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4"/>
        <w:spacing w:line="400" w:lineRule="exact"/>
        <w:rPr>
          <w:rFonts w:hAnsi="宋体"/>
          <w:szCs w:val="21"/>
        </w:rPr>
      </w:pPr>
    </w:p>
    <w:p>
      <w:pPr>
        <w:pStyle w:val="4"/>
        <w:spacing w:line="400" w:lineRule="exact"/>
        <w:rPr>
          <w:rFonts w:hAnsi="宋体"/>
          <w:szCs w:val="21"/>
        </w:rPr>
      </w:pPr>
      <w:r>
        <w:rPr>
          <w:rFonts w:hint="eastAsia" w:hAnsi="宋体"/>
          <w:szCs w:val="21"/>
        </w:rPr>
        <w:t>供应商（盖单位公章）：</w:t>
      </w:r>
    </w:p>
    <w:p>
      <w:pPr>
        <w:pStyle w:val="4"/>
        <w:spacing w:line="400" w:lineRule="exact"/>
      </w:pPr>
      <w:bookmarkStart w:id="0" w:name="_Toc521096352"/>
      <w:bookmarkStart w:id="1" w:name="_Toc460253713"/>
      <w:r>
        <w:rPr>
          <w:rFonts w:hint="eastAsia" w:hAnsi="宋体"/>
          <w:szCs w:val="21"/>
        </w:rPr>
        <w:t>法定代表人或其被授权委托人（签字或盖章）：</w:t>
      </w:r>
      <w:bookmarkEnd w:id="0"/>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5E6170A0"/>
    <w:rsid w:val="5E6170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2024-01-17T09:07:00Z</dcterms:created>
  <dc:creator>WPS</dc:creator>
  <cp:lastModifiedBy>WPS</cp:lastModifiedBy>
  <dcterms:modified xsi:type="dcterms:W3CDTF">2024-01-17T09:07:58Z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D2024C8ED55B40CFB7C438816E69D341_11</vt:lpwstr>
  </property>
</Properties>
</file>