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left"/>
        <w:outlineLvl w:val="0"/>
        <w:rPr>
          <w:rFonts w:hAnsi="宋体" w:eastAsia="宋体" w:cs="宋体"/>
          <w:bCs/>
          <w:sz w:val="28"/>
          <w:szCs w:val="28"/>
        </w:rPr>
      </w:pPr>
      <w:r>
        <w:rPr>
          <w:rFonts w:hint="eastAsia" w:hAnsi="宋体" w:eastAsia="宋体" w:cs="宋体"/>
          <w:bCs/>
          <w:sz w:val="28"/>
          <w:szCs w:val="28"/>
        </w:rPr>
        <w:t>附件1</w:t>
      </w:r>
      <w:bookmarkStart w:id="0" w:name="_GoBack"/>
      <w:bookmarkEnd w:id="0"/>
    </w:p>
    <w:p>
      <w:pPr>
        <w:pStyle w:val="5"/>
        <w:jc w:val="center"/>
        <w:rPr>
          <w:b/>
          <w:sz w:val="32"/>
        </w:rPr>
      </w:pPr>
      <w:r>
        <w:rPr>
          <w:rFonts w:hint="eastAsia"/>
          <w:b/>
          <w:sz w:val="32"/>
        </w:rPr>
        <w:t>采购需求一览表</w:t>
      </w:r>
    </w:p>
    <w:tbl>
      <w:tblPr>
        <w:tblStyle w:val="9"/>
        <w:tblW w:w="101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974"/>
        <w:gridCol w:w="637"/>
        <w:gridCol w:w="879"/>
        <w:gridCol w:w="71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采购项目名称</w:t>
            </w: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数量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预算</w:t>
            </w:r>
          </w:p>
        </w:tc>
        <w:tc>
          <w:tcPr>
            <w:tcW w:w="7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采购内容及要求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ascii="宋体" w:hAnsi="宋体"/>
                <w:szCs w:val="21"/>
                <w:highlight w:val="none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南宁中心血站2024年污水监测服务</w:t>
            </w: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1项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11426元</w:t>
            </w:r>
          </w:p>
        </w:tc>
        <w:tc>
          <w:tcPr>
            <w:tcW w:w="7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b/>
                <w:highlight w:val="none"/>
              </w:rPr>
            </w:pPr>
            <w:r>
              <w:rPr>
                <w:rFonts w:hint="eastAsia"/>
                <w:b/>
                <w:highlight w:val="none"/>
              </w:rPr>
              <w:t>一、项目概况：</w:t>
            </w:r>
          </w:p>
          <w:p>
            <w:pPr>
              <w:pStyle w:val="6"/>
              <w:spacing w:line="360" w:lineRule="exac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1、对南宁中心血站</w:t>
            </w:r>
            <w:r>
              <w:rPr>
                <w:rFonts w:hint="eastAsia"/>
                <w:highlight w:val="none"/>
                <w:lang w:val="en-US" w:eastAsia="zh-CN"/>
              </w:rPr>
              <w:t>产生的医疗废水</w:t>
            </w:r>
            <w:r>
              <w:rPr>
                <w:rFonts w:hint="eastAsia"/>
                <w:highlight w:val="none"/>
              </w:rPr>
              <w:t>进行年度</w:t>
            </w:r>
            <w:r>
              <w:rPr>
                <w:rFonts w:hint="eastAsia"/>
                <w:highlight w:val="none"/>
                <w:lang w:val="en-US" w:eastAsia="zh-CN"/>
              </w:rPr>
              <w:t>监测</w:t>
            </w:r>
            <w:r>
              <w:rPr>
                <w:rFonts w:hint="eastAsia"/>
                <w:highlight w:val="none"/>
              </w:rPr>
              <w:t>。</w:t>
            </w:r>
          </w:p>
          <w:p>
            <w:pPr>
              <w:numPr>
                <w:ilvl w:val="0"/>
                <w:numId w:val="2"/>
              </w:numPr>
              <w:spacing w:line="360" w:lineRule="auto"/>
              <w:rPr>
                <w:rFonts w:hint="eastAsia"/>
                <w:b/>
                <w:highlight w:val="none"/>
              </w:rPr>
            </w:pPr>
            <w:r>
              <w:rPr>
                <w:rFonts w:hint="eastAsia"/>
                <w:b/>
                <w:highlight w:val="none"/>
                <w:lang w:val="en-US" w:eastAsia="zh-CN"/>
              </w:rPr>
              <w:t>污水监测项目及频次</w:t>
            </w:r>
            <w:r>
              <w:rPr>
                <w:rFonts w:hint="eastAsia"/>
                <w:b/>
                <w:highlight w:val="none"/>
              </w:rPr>
              <w:t>一览表：</w:t>
            </w:r>
          </w:p>
          <w:tbl>
            <w:tblPr>
              <w:tblStyle w:val="9"/>
              <w:tblW w:w="6900" w:type="dxa"/>
              <w:jc w:val="center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60"/>
              <w:gridCol w:w="3375"/>
              <w:gridCol w:w="1440"/>
              <w:gridCol w:w="142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20" w:hRule="atLeast"/>
                <w:jc w:val="center"/>
              </w:trPr>
              <w:tc>
                <w:tcPr>
                  <w:tcW w:w="66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序号</w:t>
                  </w:r>
                </w:p>
              </w:tc>
              <w:tc>
                <w:tcPr>
                  <w:tcW w:w="33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监测项目</w:t>
                  </w:r>
                </w:p>
              </w:tc>
              <w:tc>
                <w:tcPr>
                  <w:tcW w:w="144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2024年3月、6月、9月、12月各监测1次</w:t>
                  </w:r>
                </w:p>
              </w:tc>
              <w:tc>
                <w:tcPr>
                  <w:tcW w:w="142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2024年3月、9月各           监测1次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10" w:hRule="atLeast"/>
                <w:jc w:val="center"/>
              </w:trPr>
              <w:tc>
                <w:tcPr>
                  <w:tcW w:w="66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33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粪大肠菌群数（MPN/L）</w:t>
                  </w:r>
                </w:p>
              </w:tc>
              <w:tc>
                <w:tcPr>
                  <w:tcW w:w="0" w:type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√</w:t>
                  </w:r>
                </w:p>
              </w:tc>
              <w:tc>
                <w:tcPr>
                  <w:tcW w:w="0" w:type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36" w:hRule="atLeast"/>
                <w:jc w:val="center"/>
              </w:trPr>
              <w:tc>
                <w:tcPr>
                  <w:tcW w:w="66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33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肠道致病菌（沙门氏菌）</w:t>
                  </w:r>
                </w:p>
              </w:tc>
              <w:tc>
                <w:tcPr>
                  <w:tcW w:w="0" w:type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√</w:t>
                  </w:r>
                </w:p>
              </w:tc>
              <w:tc>
                <w:tcPr>
                  <w:tcW w:w="0" w:type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2" w:hRule="atLeast"/>
                <w:jc w:val="center"/>
              </w:trPr>
              <w:tc>
                <w:tcPr>
                  <w:tcW w:w="66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3</w:t>
                  </w:r>
                </w:p>
              </w:tc>
              <w:tc>
                <w:tcPr>
                  <w:tcW w:w="33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肠道致病菌（志贺氏菌）</w:t>
                  </w:r>
                </w:p>
              </w:tc>
              <w:tc>
                <w:tcPr>
                  <w:tcW w:w="0" w:type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0" w:type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√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0" w:hRule="atLeast"/>
                <w:jc w:val="center"/>
              </w:trPr>
              <w:tc>
                <w:tcPr>
                  <w:tcW w:w="66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4</w:t>
                  </w:r>
                </w:p>
              </w:tc>
              <w:tc>
                <w:tcPr>
                  <w:tcW w:w="33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微软雅黑" w:hAnsi="微软雅黑" w:eastAsia="微软雅黑" w:cs="微软雅黑"/>
                      <w:i w:val="0"/>
                      <w:iCs w:val="0"/>
                      <w:color w:val="000000"/>
                      <w:sz w:val="20"/>
                      <w:szCs w:val="20"/>
                      <w:u w:val="none"/>
                      <w:lang w:val="en-US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pH值</w:t>
                  </w:r>
                </w:p>
              </w:tc>
              <w:tc>
                <w:tcPr>
                  <w:tcW w:w="0" w:type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√</w:t>
                  </w:r>
                </w:p>
              </w:tc>
              <w:tc>
                <w:tcPr>
                  <w:tcW w:w="0" w:type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7" w:hRule="atLeast"/>
                <w:jc w:val="center"/>
              </w:trPr>
              <w:tc>
                <w:tcPr>
                  <w:tcW w:w="66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5</w:t>
                  </w:r>
                </w:p>
              </w:tc>
              <w:tc>
                <w:tcPr>
                  <w:tcW w:w="33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 xml:space="preserve">化学需氧量（COD）浓度  （mg/L）  </w:t>
                  </w:r>
                </w:p>
              </w:tc>
              <w:tc>
                <w:tcPr>
                  <w:tcW w:w="0" w:type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√</w:t>
                  </w:r>
                </w:p>
              </w:tc>
              <w:tc>
                <w:tcPr>
                  <w:tcW w:w="0" w:type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8" w:hRule="atLeast"/>
                <w:jc w:val="center"/>
              </w:trPr>
              <w:tc>
                <w:tcPr>
                  <w:tcW w:w="66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6</w:t>
                  </w:r>
                </w:p>
              </w:tc>
              <w:tc>
                <w:tcPr>
                  <w:tcW w:w="33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 xml:space="preserve">生化需氧量（BOD） 浓度  （mg/L）   </w:t>
                  </w:r>
                </w:p>
              </w:tc>
              <w:tc>
                <w:tcPr>
                  <w:tcW w:w="0" w:type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√</w:t>
                  </w:r>
                </w:p>
              </w:tc>
              <w:tc>
                <w:tcPr>
                  <w:tcW w:w="0" w:type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3" w:hRule="atLeast"/>
                <w:jc w:val="center"/>
              </w:trPr>
              <w:tc>
                <w:tcPr>
                  <w:tcW w:w="66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7</w:t>
                  </w:r>
                </w:p>
              </w:tc>
              <w:tc>
                <w:tcPr>
                  <w:tcW w:w="33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 xml:space="preserve">悬浮物（SS） 浓度  （mg/L）   </w:t>
                  </w:r>
                </w:p>
              </w:tc>
              <w:tc>
                <w:tcPr>
                  <w:tcW w:w="0" w:type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√</w:t>
                  </w:r>
                </w:p>
              </w:tc>
              <w:tc>
                <w:tcPr>
                  <w:tcW w:w="0" w:type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8" w:hRule="atLeast"/>
                <w:jc w:val="center"/>
              </w:trPr>
              <w:tc>
                <w:tcPr>
                  <w:tcW w:w="66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8</w:t>
                  </w:r>
                </w:p>
              </w:tc>
              <w:tc>
                <w:tcPr>
                  <w:tcW w:w="33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动植物油（mg/L）</w:t>
                  </w:r>
                </w:p>
              </w:tc>
              <w:tc>
                <w:tcPr>
                  <w:tcW w:w="0" w:type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√</w:t>
                  </w:r>
                </w:p>
              </w:tc>
              <w:tc>
                <w:tcPr>
                  <w:tcW w:w="0" w:type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0" w:hRule="atLeast"/>
                <w:jc w:val="center"/>
              </w:trPr>
              <w:tc>
                <w:tcPr>
                  <w:tcW w:w="66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9</w:t>
                  </w:r>
                </w:p>
              </w:tc>
              <w:tc>
                <w:tcPr>
                  <w:tcW w:w="33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石油类（mg/L）</w:t>
                  </w:r>
                </w:p>
              </w:tc>
              <w:tc>
                <w:tcPr>
                  <w:tcW w:w="0" w:type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√</w:t>
                  </w:r>
                </w:p>
              </w:tc>
              <w:tc>
                <w:tcPr>
                  <w:tcW w:w="0" w:type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80" w:hRule="atLeast"/>
                <w:jc w:val="center"/>
              </w:trPr>
              <w:tc>
                <w:tcPr>
                  <w:tcW w:w="66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10</w:t>
                  </w:r>
                </w:p>
              </w:tc>
              <w:tc>
                <w:tcPr>
                  <w:tcW w:w="33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阴离子表面活性剂（mg/L）</w:t>
                  </w:r>
                </w:p>
              </w:tc>
              <w:tc>
                <w:tcPr>
                  <w:tcW w:w="0" w:type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√</w:t>
                  </w:r>
                </w:p>
              </w:tc>
              <w:tc>
                <w:tcPr>
                  <w:tcW w:w="0" w:type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</w:tr>
          </w:tbl>
          <w:p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rPr>
                <w:rFonts w:hint="eastAsia"/>
                <w:b/>
                <w:highlight w:val="none"/>
                <w:lang w:val="en-US" w:eastAsia="zh-CN"/>
              </w:rPr>
            </w:pPr>
            <w:r>
              <w:rPr>
                <w:rFonts w:hint="eastAsia"/>
                <w:b/>
                <w:highlight w:val="none"/>
                <w:lang w:val="en-US" w:eastAsia="zh-CN"/>
              </w:rPr>
              <w:t>服务要求：</w:t>
            </w:r>
          </w:p>
          <w:p>
            <w:pPr>
              <w:numPr>
                <w:ilvl w:val="0"/>
                <w:numId w:val="3"/>
              </w:numPr>
              <w:spacing w:line="360" w:lineRule="auto"/>
              <w:ind w:leftChars="0"/>
              <w:rPr>
                <w:rFonts w:hint="eastAsia"/>
                <w:b w:val="0"/>
                <w:bCs/>
                <w:highlight w:val="yellow"/>
                <w:lang w:val="en-US" w:eastAsia="zh-CN"/>
              </w:rPr>
            </w:pPr>
            <w:r>
              <w:rPr>
                <w:rFonts w:hint="eastAsia"/>
                <w:b w:val="0"/>
                <w:bCs/>
                <w:highlight w:val="yellow"/>
                <w:lang w:val="en-US" w:eastAsia="zh-CN"/>
              </w:rPr>
              <w:t>具有检验检测机构资质认定证书（CMA），提供相关证明材料。</w:t>
            </w:r>
          </w:p>
          <w:p>
            <w:pPr>
              <w:numPr>
                <w:ilvl w:val="0"/>
                <w:numId w:val="3"/>
              </w:numPr>
              <w:spacing w:line="360" w:lineRule="auto"/>
              <w:ind w:leftChars="0"/>
              <w:rPr>
                <w:highlight w:val="none"/>
              </w:rPr>
            </w:pPr>
            <w:r>
              <w:rPr>
                <w:rFonts w:hint="eastAsia"/>
                <w:b w:val="0"/>
                <w:bCs/>
                <w:highlight w:val="yellow"/>
                <w:lang w:val="en-US" w:eastAsia="zh-CN"/>
              </w:rPr>
              <w:t>应按照</w:t>
            </w:r>
            <w:r>
              <w:rPr>
                <w:rFonts w:hint="default"/>
                <w:b w:val="0"/>
                <w:bCs/>
                <w:highlight w:val="yellow"/>
                <w:lang w:val="en-US" w:eastAsia="zh-CN"/>
              </w:rPr>
              <w:t>《医疗机构水污染物排放标准》要求</w:t>
            </w:r>
            <w:r>
              <w:rPr>
                <w:rFonts w:hint="eastAsia"/>
                <w:b w:val="0"/>
                <w:bCs/>
                <w:highlight w:val="yellow"/>
                <w:lang w:val="en-US" w:eastAsia="zh-CN"/>
              </w:rPr>
              <w:t>进行监测服务，每次监测后出具监测报告并交予采购人，报告须写明监测结果是否符合《医疗机构水污染物排放标准》要求。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商务</w:t>
            </w:r>
            <w:r>
              <w:rPr>
                <w:rFonts w:ascii="宋体" w:hAnsi="宋体"/>
                <w:szCs w:val="21"/>
                <w:highlight w:val="none"/>
              </w:rPr>
              <w:t>条款</w:t>
            </w:r>
          </w:p>
        </w:tc>
        <w:tc>
          <w:tcPr>
            <w:tcW w:w="95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4"/>
              </w:numPr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 xml:space="preserve">合同签订期：自成交结果公告结束之日起 </w:t>
            </w:r>
            <w:r>
              <w:rPr>
                <w:rFonts w:hint="eastAsia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/>
                <w:szCs w:val="21"/>
                <w:highlight w:val="none"/>
              </w:rPr>
              <w:t>个工作日内。</w:t>
            </w:r>
          </w:p>
          <w:p>
            <w:pPr>
              <w:numPr>
                <w:ilvl w:val="0"/>
                <w:numId w:val="4"/>
              </w:numPr>
              <w:spacing w:line="276" w:lineRule="auto"/>
              <w:ind w:left="0" w:leftChars="0" w:firstLine="0" w:firstLineChars="0"/>
              <w:rPr>
                <w:rFonts w:hint="eastAsia"/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服务期限</w:t>
            </w:r>
          </w:p>
          <w:p>
            <w:pPr>
              <w:numPr>
                <w:ilvl w:val="0"/>
                <w:numId w:val="5"/>
              </w:numPr>
              <w:spacing w:line="276" w:lineRule="auto"/>
              <w:ind w:leftChars="0"/>
              <w:rPr>
                <w:rFonts w:hint="eastAsia" w:hAnsi="宋体" w:eastAsia="宋体" w:cs="宋体"/>
                <w:szCs w:val="21"/>
                <w:highlight w:val="yellow"/>
              </w:rPr>
            </w:pPr>
            <w:r>
              <w:rPr>
                <w:rFonts w:hint="eastAsia" w:hAnsi="宋体" w:eastAsia="宋体" w:cs="宋体"/>
                <w:szCs w:val="21"/>
                <w:highlight w:val="yellow"/>
              </w:rPr>
              <w:t>合同签订之日起</w:t>
            </w:r>
            <w:r>
              <w:rPr>
                <w:rFonts w:hint="eastAsia" w:hAnsi="宋体" w:eastAsia="宋体" w:cs="宋体"/>
                <w:szCs w:val="21"/>
                <w:highlight w:val="yellow"/>
                <w:lang w:val="en-US" w:eastAsia="zh-CN"/>
              </w:rPr>
              <w:t>至所有监测服务履行完毕并经采购人确认为止</w:t>
            </w:r>
            <w:r>
              <w:rPr>
                <w:rFonts w:hint="eastAsia" w:hAnsi="宋体" w:eastAsia="宋体" w:cs="宋体"/>
                <w:szCs w:val="21"/>
                <w:highlight w:val="yellow"/>
              </w:rPr>
              <w:t>。</w:t>
            </w:r>
          </w:p>
          <w:p>
            <w:pPr>
              <w:numPr>
                <w:ilvl w:val="0"/>
                <w:numId w:val="5"/>
              </w:numPr>
              <w:spacing w:line="276" w:lineRule="auto"/>
              <w:ind w:leftChars="0"/>
              <w:rPr>
                <w:rFonts w:hint="eastAsia" w:hAnsi="宋体" w:eastAsia="宋体" w:cs="宋体"/>
                <w:szCs w:val="21"/>
                <w:highlight w:val="none"/>
              </w:rPr>
            </w:pPr>
            <w:r>
              <w:rPr>
                <w:rFonts w:hint="eastAsia" w:hAnsi="宋体" w:eastAsia="宋体" w:cs="宋体"/>
                <w:szCs w:val="21"/>
                <w:highlight w:val="none"/>
              </w:rPr>
              <w:t>合同延续年限、条件和方式: 项目合同履约期到期后，采购人依据项目的服务履约评价情况及实际需求，在年度预算保障的前提下，对于购买内容(采购需求)相对固定、连续(延续)性强、经费来源稳定、价格变化幅度小的服务项目，可以通过一年一续签方式签订合同，期限总长不得超过3年。</w:t>
            </w:r>
          </w:p>
          <w:p>
            <w:pPr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三、服务地点：</w:t>
            </w:r>
            <w:r>
              <w:rPr>
                <w:rFonts w:hint="eastAsia"/>
                <w:szCs w:val="21"/>
                <w:highlight w:val="none"/>
                <w:lang w:val="en-US" w:eastAsia="zh-CN"/>
              </w:rPr>
              <w:t>南宁中心血站污水处理站</w:t>
            </w:r>
            <w:r>
              <w:rPr>
                <w:rFonts w:hint="eastAsia"/>
                <w:szCs w:val="21"/>
                <w:highlight w:val="none"/>
              </w:rPr>
              <w:t>。</w:t>
            </w:r>
          </w:p>
          <w:p>
            <w:pPr>
              <w:pStyle w:val="8"/>
              <w:spacing w:line="276" w:lineRule="auto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四、</w:t>
            </w:r>
            <w:r>
              <w:rPr>
                <w:rFonts w:hint="eastAsia"/>
                <w:sz w:val="21"/>
                <w:szCs w:val="21"/>
                <w:highlight w:val="none"/>
              </w:rPr>
              <w:t>售后服务要求：</w:t>
            </w:r>
          </w:p>
          <w:p>
            <w:pPr>
              <w:spacing w:line="276" w:lineRule="auto"/>
              <w:ind w:firstLine="420" w:firstLineChars="200"/>
              <w:rPr>
                <w:rFonts w:hint="eastAsia" w:asciiTheme="minorEastAsia" w:hAnsiTheme="minorEastAsia" w:eastAsiaTheme="minorEastAsia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highlight w:val="none"/>
              </w:rPr>
              <w:t xml:space="preserve">处理问题响应时间：接到采购人处理问题通知后 </w:t>
            </w:r>
            <w:r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Theme="minorEastAsia" w:hAnsiTheme="minorEastAsia"/>
                <w:szCs w:val="21"/>
                <w:highlight w:val="none"/>
              </w:rPr>
              <w:t xml:space="preserve"> 小时内到达采购人指定现场</w:t>
            </w:r>
            <w:r>
              <w:rPr>
                <w:rFonts w:hint="eastAsia" w:asciiTheme="minorEastAsia" w:hAnsiTheme="minorEastAsia"/>
                <w:szCs w:val="21"/>
                <w:highlight w:val="none"/>
                <w:lang w:eastAsia="zh-CN"/>
              </w:rPr>
              <w:t>。</w:t>
            </w:r>
          </w:p>
          <w:p>
            <w:pPr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五、付款方式：</w:t>
            </w:r>
          </w:p>
          <w:p>
            <w:pPr>
              <w:pStyle w:val="8"/>
              <w:spacing w:line="276" w:lineRule="auto"/>
              <w:ind w:firstLine="404" w:firstLineChars="200"/>
              <w:rPr>
                <w:rFonts w:hAnsi="宋体" w:eastAsia="宋体" w:cs="宋体"/>
                <w:sz w:val="21"/>
                <w:szCs w:val="21"/>
                <w:highlight w:val="yellow"/>
              </w:rPr>
            </w:pPr>
            <w:r>
              <w:rPr>
                <w:rFonts w:hint="eastAsia" w:hAnsi="宋体" w:eastAsia="宋体" w:cs="宋体"/>
                <w:sz w:val="21"/>
                <w:szCs w:val="21"/>
                <w:highlight w:val="yellow"/>
                <w:lang w:val="en-US" w:eastAsia="zh-CN"/>
              </w:rPr>
              <w:t>合同签订后，采购人于每年6月、12月向成交供应商支付合同款，付款前成交供应商应将监测报告及等额合规的发票交予采购人</w:t>
            </w:r>
            <w:r>
              <w:rPr>
                <w:rFonts w:hint="eastAsia" w:hAnsi="宋体" w:eastAsia="宋体" w:cs="宋体"/>
                <w:sz w:val="21"/>
                <w:szCs w:val="21"/>
                <w:highlight w:val="yellow"/>
              </w:rPr>
              <w:t>。</w:t>
            </w:r>
          </w:p>
          <w:p>
            <w:pPr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六、其他要求：</w:t>
            </w:r>
          </w:p>
          <w:p>
            <w:pPr>
              <w:pStyle w:val="3"/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1、报价必须含以下部分：</w:t>
            </w:r>
          </w:p>
          <w:p>
            <w:pPr>
              <w:pStyle w:val="3"/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（1）服务价格；</w:t>
            </w:r>
          </w:p>
          <w:p>
            <w:pPr>
              <w:pStyle w:val="3"/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（2）各项费用包括：</w:t>
            </w:r>
          </w:p>
          <w:p>
            <w:pPr>
              <w:pStyle w:val="3"/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sym w:font="Wingdings" w:char="F081"/>
            </w:r>
            <w:r>
              <w:rPr>
                <w:rFonts w:hint="eastAsia"/>
                <w:szCs w:val="21"/>
                <w:highlight w:val="none"/>
              </w:rPr>
              <w:t xml:space="preserve"> 管理、工作人员的工资和按规定提取的福利费、保险费等。</w:t>
            </w:r>
          </w:p>
          <w:p>
            <w:pPr>
              <w:pStyle w:val="3"/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sym w:font="Wingdings" w:char="F082"/>
            </w:r>
            <w:r>
              <w:rPr>
                <w:rFonts w:hint="eastAsia"/>
                <w:szCs w:val="21"/>
                <w:highlight w:val="none"/>
              </w:rPr>
              <w:t xml:space="preserve"> 工作人员修理检测等工具费用。</w:t>
            </w:r>
          </w:p>
          <w:p>
            <w:pPr>
              <w:pStyle w:val="3"/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sym w:font="Wingdings" w:char="F083"/>
            </w:r>
            <w:r>
              <w:rPr>
                <w:rFonts w:hint="eastAsia"/>
                <w:szCs w:val="21"/>
                <w:highlight w:val="none"/>
              </w:rPr>
              <w:t xml:space="preserve"> 培训、技术支持、售后服务等费用。</w:t>
            </w:r>
          </w:p>
          <w:p>
            <w:pPr>
              <w:pStyle w:val="3"/>
              <w:adjustRightInd w:val="0"/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④ 各种税费。</w:t>
            </w:r>
          </w:p>
          <w:p>
            <w:pPr>
              <w:pStyle w:val="3"/>
              <w:adjustRightInd w:val="0"/>
              <w:spacing w:line="276" w:lineRule="auto"/>
              <w:rPr>
                <w:highlight w:val="none"/>
              </w:rPr>
            </w:pPr>
            <w:r>
              <w:rPr>
                <w:rFonts w:hint="eastAsia" w:asciiTheme="minorEastAsia" w:hAnsiTheme="minorEastAsia"/>
                <w:szCs w:val="21"/>
                <w:highlight w:val="none"/>
              </w:rPr>
              <w:t>2、</w:t>
            </w:r>
            <w:r>
              <w:rPr>
                <w:rFonts w:hint="eastAsia"/>
                <w:szCs w:val="21"/>
                <w:highlight w:val="none"/>
              </w:rPr>
              <w:t>服务期间，</w:t>
            </w:r>
            <w:r>
              <w:rPr>
                <w:rFonts w:hint="eastAsia"/>
                <w:szCs w:val="21"/>
                <w:highlight w:val="none"/>
                <w:lang w:val="en-US" w:eastAsia="zh-CN"/>
              </w:rPr>
              <w:t>成交供应商</w:t>
            </w:r>
            <w:r>
              <w:rPr>
                <w:rFonts w:hint="eastAsia"/>
                <w:szCs w:val="21"/>
                <w:highlight w:val="none"/>
              </w:rPr>
              <w:t>对己方工作人员的安全承担全部责任。</w:t>
            </w:r>
          </w:p>
        </w:tc>
      </w:tr>
    </w:tbl>
    <w:p>
      <w:pPr>
        <w:pStyle w:val="7"/>
        <w:ind w:firstLine="0" w:firstLineChars="0"/>
        <w:rPr>
          <w:highlight w:val="none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14308C"/>
    <w:multiLevelType w:val="singleLevel"/>
    <w:tmpl w:val="9814308C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9B9DA7A0"/>
    <w:multiLevelType w:val="singleLevel"/>
    <w:tmpl w:val="9B9DA7A0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B2333837"/>
    <w:multiLevelType w:val="singleLevel"/>
    <w:tmpl w:val="B233383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DD98A525"/>
    <w:multiLevelType w:val="singleLevel"/>
    <w:tmpl w:val="DD98A525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6EDA75DF"/>
    <w:rsid w:val="6EDA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10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5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6">
    <w:name w:val="toc 1"/>
    <w:basedOn w:val="1"/>
    <w:next w:val="1"/>
    <w:unhideWhenUsed/>
    <w:qFormat/>
    <w:uiPriority w:val="39"/>
    <w:rPr>
      <w:rFonts w:ascii="宋体" w:hAnsi="宋体" w:eastAsia="宋体" w:cs="Arial"/>
      <w:szCs w:val="21"/>
    </w:rPr>
  </w:style>
  <w:style w:type="paragraph" w:styleId="7">
    <w:name w:val="Body Text First Indent"/>
    <w:basedOn w:val="3"/>
    <w:qFormat/>
    <w:uiPriority w:val="0"/>
    <w:pPr>
      <w:ind w:firstLine="420" w:firstLineChars="100"/>
    </w:pPr>
  </w:style>
  <w:style w:type="paragraph" w:styleId="8">
    <w:name w:val="Body Text First Indent 2"/>
    <w:basedOn w:val="4"/>
    <w:next w:val="1"/>
    <w:qFormat/>
    <w:uiPriority w:val="0"/>
    <w:pPr>
      <w:spacing w:line="360" w:lineRule="auto"/>
      <w:ind w:firstLine="0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2024-02-27T08:31:00Z</dcterms:created>
  <dc:creator>WPS</dc:creator>
  <cp:lastModifiedBy>WPS</cp:lastModifiedBy>
  <dcterms:modified xsi:type="dcterms:W3CDTF">2024-02-27T08:31:44Z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517F521738B84B6F90EF47E2E38B20E1_11</vt:lpwstr>
  </property>
</Properties>
</file>